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15085515"/>
    <w:p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135B310D" wp14:editId="2C7581D0">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F61FF8">
        <w:rPr>
          <w:rFonts w:ascii="Arial" w:hAnsi="Arial" w:cs="Arial"/>
          <w:b/>
          <w:kern w:val="2"/>
          <w:sz w:val="24"/>
          <w:szCs w:val="24"/>
          <w:lang w:eastAsia="zh-CN"/>
        </w:rPr>
        <w:t>1</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R1-200</w:t>
      </w:r>
      <w:r w:rsidR="00F61FF8">
        <w:rPr>
          <w:rFonts w:ascii="Arial" w:hAnsi="Arial" w:cs="Arial"/>
          <w:b/>
          <w:kern w:val="2"/>
          <w:sz w:val="24"/>
          <w:szCs w:val="24"/>
          <w:lang w:eastAsia="zh-CN"/>
        </w:rPr>
        <w:t>5</w:t>
      </w:r>
      <w:r w:rsidR="00DC324C">
        <w:rPr>
          <w:rFonts w:ascii="Arial" w:hAnsi="Arial" w:cs="Arial"/>
          <w:b/>
          <w:kern w:val="2"/>
          <w:sz w:val="24"/>
          <w:szCs w:val="24"/>
          <w:lang w:eastAsia="zh-CN"/>
        </w:rPr>
        <w:t>182</w:t>
      </w:r>
    </w:p>
    <w:p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34609" w:rsidRPr="00011EE9">
        <w:rPr>
          <w:rFonts w:ascii="Arial" w:hAnsi="Arial" w:cs="Arial" w:hint="eastAsia"/>
          <w:b/>
          <w:kern w:val="2"/>
          <w:sz w:val="24"/>
          <w:szCs w:val="24"/>
          <w:lang w:eastAsia="zh-CN"/>
        </w:rPr>
        <w:t>April</w:t>
      </w:r>
      <w:r w:rsidR="00934609">
        <w:rPr>
          <w:rFonts w:ascii="Arial" w:hAnsi="Arial" w:cs="Arial"/>
          <w:b/>
          <w:kern w:val="2"/>
          <w:sz w:val="24"/>
          <w:szCs w:val="24"/>
          <w:lang w:eastAsia="zh-CN"/>
        </w:rPr>
        <w:t xml:space="preserve"> 20</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30</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rsidTr="00D96BD7">
        <w:tc>
          <w:tcPr>
            <w:tcW w:w="9641" w:type="dxa"/>
            <w:gridSpan w:val="9"/>
            <w:tcBorders>
              <w:top w:val="single" w:sz="4" w:space="0" w:color="auto"/>
              <w:left w:val="single" w:sz="4" w:space="0" w:color="auto"/>
              <w:right w:val="single" w:sz="4" w:space="0" w:color="auto"/>
            </w:tcBorders>
          </w:tcPr>
          <w:p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jc w:val="center"/>
              <w:rPr>
                <w:noProof/>
              </w:rPr>
            </w:pPr>
            <w:r>
              <w:rPr>
                <w:b/>
                <w:noProof/>
                <w:sz w:val="32"/>
              </w:rPr>
              <w:t>CHANGE REQUEST</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sz w:val="8"/>
                <w:szCs w:val="8"/>
              </w:rPr>
            </w:pPr>
          </w:p>
        </w:tc>
      </w:tr>
      <w:tr w:rsidR="000B148C" w:rsidTr="00D96BD7">
        <w:tc>
          <w:tcPr>
            <w:tcW w:w="142" w:type="dxa"/>
            <w:tcBorders>
              <w:left w:val="single" w:sz="4" w:space="0" w:color="auto"/>
            </w:tcBorders>
          </w:tcPr>
          <w:p w:rsidR="000B148C" w:rsidRDefault="000B148C" w:rsidP="00D96BD7">
            <w:pPr>
              <w:pStyle w:val="CRCoverPage"/>
              <w:spacing w:after="0"/>
              <w:jc w:val="right"/>
              <w:rPr>
                <w:noProof/>
              </w:rPr>
            </w:pPr>
          </w:p>
        </w:tc>
        <w:tc>
          <w:tcPr>
            <w:tcW w:w="1559" w:type="dxa"/>
            <w:shd w:val="pct30" w:color="FFFF00" w:fill="auto"/>
          </w:tcPr>
          <w:p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rsidR="000B148C" w:rsidRDefault="000B148C" w:rsidP="00D96BD7">
            <w:pPr>
              <w:pStyle w:val="CRCoverPage"/>
              <w:spacing w:after="0"/>
              <w:jc w:val="center"/>
              <w:rPr>
                <w:noProof/>
              </w:rPr>
            </w:pPr>
            <w:r>
              <w:rPr>
                <w:b/>
                <w:noProof/>
                <w:sz w:val="28"/>
              </w:rPr>
              <w:t>CR</w:t>
            </w:r>
          </w:p>
        </w:tc>
        <w:tc>
          <w:tcPr>
            <w:tcW w:w="1276" w:type="dxa"/>
            <w:shd w:val="pct30" w:color="FFFF00" w:fill="auto"/>
          </w:tcPr>
          <w:p w:rsidR="000B148C" w:rsidRPr="00410371" w:rsidRDefault="00DC324C" w:rsidP="00D96BD7">
            <w:pPr>
              <w:pStyle w:val="CRCoverPage"/>
              <w:spacing w:after="0"/>
              <w:jc w:val="center"/>
              <w:rPr>
                <w:noProof/>
              </w:rPr>
            </w:pPr>
            <w:r>
              <w:rPr>
                <w:b/>
                <w:noProof/>
                <w:sz w:val="28"/>
              </w:rPr>
              <w:t>1339</w:t>
            </w:r>
          </w:p>
        </w:tc>
        <w:tc>
          <w:tcPr>
            <w:tcW w:w="709" w:type="dxa"/>
          </w:tcPr>
          <w:p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rsidR="000B148C" w:rsidRPr="00410371" w:rsidRDefault="000B148C" w:rsidP="00D96BD7">
            <w:pPr>
              <w:pStyle w:val="CRCoverPage"/>
              <w:spacing w:after="0"/>
              <w:jc w:val="center"/>
              <w:rPr>
                <w:b/>
                <w:noProof/>
              </w:rPr>
            </w:pPr>
            <w:r w:rsidRPr="003C63B6">
              <w:rPr>
                <w:b/>
                <w:noProof/>
                <w:sz w:val="28"/>
              </w:rPr>
              <w:t>-</w:t>
            </w:r>
          </w:p>
        </w:tc>
        <w:tc>
          <w:tcPr>
            <w:tcW w:w="2410" w:type="dxa"/>
          </w:tcPr>
          <w:p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B148C" w:rsidRPr="00410371" w:rsidRDefault="000B148C" w:rsidP="00D96BD7">
            <w:pPr>
              <w:pStyle w:val="CRCoverPage"/>
              <w:spacing w:after="0"/>
              <w:jc w:val="center"/>
              <w:rPr>
                <w:noProof/>
                <w:sz w:val="28"/>
              </w:rPr>
            </w:pPr>
            <w:r w:rsidRPr="00C576FD">
              <w:rPr>
                <w:b/>
                <w:noProof/>
                <w:sz w:val="28"/>
              </w:rPr>
              <w:t>1</w:t>
            </w:r>
            <w:r>
              <w:rPr>
                <w:b/>
                <w:noProof/>
                <w:sz w:val="28"/>
              </w:rPr>
              <w:t>6.</w:t>
            </w:r>
            <w:r w:rsidR="00934609">
              <w:rPr>
                <w:b/>
                <w:noProof/>
                <w:sz w:val="28"/>
              </w:rPr>
              <w:t>1</w:t>
            </w:r>
            <w:r>
              <w:rPr>
                <w:b/>
                <w:noProof/>
                <w:sz w:val="28"/>
              </w:rPr>
              <w:t>.0</w:t>
            </w:r>
          </w:p>
        </w:tc>
        <w:tc>
          <w:tcPr>
            <w:tcW w:w="143" w:type="dxa"/>
            <w:tcBorders>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top w:val="single" w:sz="4" w:space="0" w:color="auto"/>
            </w:tcBorders>
          </w:tcPr>
          <w:p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rsidTr="00D96BD7">
        <w:tc>
          <w:tcPr>
            <w:tcW w:w="9641" w:type="dxa"/>
            <w:gridSpan w:val="9"/>
          </w:tcPr>
          <w:p w:rsidR="000B148C" w:rsidRDefault="000B148C" w:rsidP="00D96BD7">
            <w:pPr>
              <w:pStyle w:val="CRCoverPage"/>
              <w:spacing w:after="0"/>
              <w:rPr>
                <w:noProof/>
                <w:sz w:val="8"/>
                <w:szCs w:val="8"/>
              </w:rPr>
            </w:pPr>
          </w:p>
        </w:tc>
      </w:tr>
    </w:tbl>
    <w:p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rsidTr="00D96BD7">
        <w:tc>
          <w:tcPr>
            <w:tcW w:w="2835" w:type="dxa"/>
          </w:tcPr>
          <w:p w:rsidR="000B148C" w:rsidRDefault="000B148C" w:rsidP="00D96BD7">
            <w:pPr>
              <w:pStyle w:val="CRCoverPage"/>
              <w:tabs>
                <w:tab w:val="right" w:pos="2751"/>
              </w:tabs>
              <w:spacing w:after="0"/>
              <w:rPr>
                <w:b/>
                <w:i/>
                <w:noProof/>
              </w:rPr>
            </w:pPr>
            <w:r>
              <w:rPr>
                <w:b/>
                <w:i/>
                <w:noProof/>
              </w:rPr>
              <w:t>Proposed change affects:</w:t>
            </w:r>
          </w:p>
        </w:tc>
        <w:tc>
          <w:tcPr>
            <w:tcW w:w="1418" w:type="dxa"/>
          </w:tcPr>
          <w:p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48C" w:rsidRDefault="000B148C" w:rsidP="00D96BD7">
            <w:pPr>
              <w:pStyle w:val="CRCoverPage"/>
              <w:spacing w:after="0"/>
              <w:jc w:val="center"/>
              <w:rPr>
                <w:b/>
                <w:caps/>
                <w:noProof/>
              </w:rPr>
            </w:pPr>
          </w:p>
        </w:tc>
        <w:tc>
          <w:tcPr>
            <w:tcW w:w="709" w:type="dxa"/>
            <w:tcBorders>
              <w:left w:val="single" w:sz="4" w:space="0" w:color="auto"/>
            </w:tcBorders>
          </w:tcPr>
          <w:p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126" w:type="dxa"/>
          </w:tcPr>
          <w:p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1418" w:type="dxa"/>
            <w:tcBorders>
              <w:left w:val="nil"/>
            </w:tcBorders>
          </w:tcPr>
          <w:p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bCs/>
                <w:caps/>
                <w:noProof/>
              </w:rPr>
            </w:pPr>
          </w:p>
        </w:tc>
      </w:tr>
    </w:tbl>
    <w:p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rsidTr="00D96BD7">
        <w:tc>
          <w:tcPr>
            <w:tcW w:w="9640" w:type="dxa"/>
            <w:gridSpan w:val="11"/>
          </w:tcPr>
          <w:p w:rsidR="000B148C" w:rsidRDefault="000B148C" w:rsidP="00D96BD7">
            <w:pPr>
              <w:pStyle w:val="CRCoverPage"/>
              <w:spacing w:after="0"/>
              <w:rPr>
                <w:noProof/>
                <w:sz w:val="8"/>
                <w:szCs w:val="8"/>
              </w:rPr>
            </w:pPr>
          </w:p>
        </w:tc>
      </w:tr>
      <w:tr w:rsidR="000B148C" w:rsidTr="00D96BD7">
        <w:tc>
          <w:tcPr>
            <w:tcW w:w="1843" w:type="dxa"/>
            <w:tcBorders>
              <w:top w:val="single" w:sz="4" w:space="0" w:color="auto"/>
              <w:left w:val="single" w:sz="4" w:space="0" w:color="auto"/>
            </w:tcBorders>
          </w:tcPr>
          <w:p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148C" w:rsidRPr="00507E53" w:rsidRDefault="000B148C" w:rsidP="00F14F83">
            <w:pPr>
              <w:pStyle w:val="CRCoverPage"/>
              <w:spacing w:after="0"/>
              <w:ind w:left="100"/>
              <w:rPr>
                <w:noProof/>
                <w:lang w:val="en-US"/>
              </w:rPr>
            </w:pPr>
            <w:r>
              <w:t xml:space="preserve">Corrections </w:t>
            </w:r>
            <w:r w:rsidR="00F14F83">
              <w:t xml:space="preserve">to </w:t>
            </w:r>
            <w:r w:rsidR="00F14F83" w:rsidRPr="00B87BCB">
              <w:rPr>
                <w:noProof/>
              </w:rPr>
              <w:t>single Tx switched uplink solution for EN-DC</w:t>
            </w:r>
            <w:r w:rsidR="00F14F83" w:rsidRPr="00264859">
              <w:t xml:space="preserve"> </w:t>
            </w:r>
            <w:r w:rsidR="00F14F83">
              <w:t xml:space="preserve">feature of </w:t>
            </w:r>
            <w:r w:rsidR="00D2485A">
              <w:rPr>
                <w:lang w:eastAsia="fr-FR"/>
              </w:rPr>
              <w:t>R</w:t>
            </w:r>
            <w:r w:rsidR="00F14F83">
              <w:rPr>
                <w:lang w:eastAsia="fr-FR"/>
              </w:rPr>
              <w:t>el-16 MR DC/CA</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148C" w:rsidRDefault="00665F7D" w:rsidP="00D96BD7">
            <w:pPr>
              <w:pStyle w:val="CRCoverPage"/>
              <w:spacing w:after="0"/>
              <w:ind w:left="100"/>
              <w:rPr>
                <w:noProof/>
              </w:rPr>
            </w:pPr>
            <w:r>
              <w:t xml:space="preserve">Lenovo, </w:t>
            </w:r>
            <w:r w:rsidR="000B148C">
              <w:t>Motorola Mobility</w:t>
            </w: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148C" w:rsidRDefault="000B148C" w:rsidP="00D96BD7">
            <w:pPr>
              <w:pStyle w:val="CRCoverPage"/>
              <w:spacing w:after="0"/>
              <w:ind w:left="100"/>
              <w:rPr>
                <w:noProof/>
              </w:rPr>
            </w:pP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rsidR="000B148C" w:rsidRDefault="00D2485A" w:rsidP="00D96BD7">
            <w:pPr>
              <w:pStyle w:val="CRCoverPage"/>
              <w:spacing w:after="0"/>
              <w:ind w:left="100"/>
              <w:rPr>
                <w:noProof/>
              </w:rPr>
            </w:pPr>
            <w:r w:rsidRPr="006B1547">
              <w:rPr>
                <w:noProof/>
                <w:lang w:eastAsia="zh-CN"/>
              </w:rPr>
              <w:t>LTE_NR_DC_CA_enh-Core</w:t>
            </w:r>
          </w:p>
        </w:tc>
        <w:tc>
          <w:tcPr>
            <w:tcW w:w="567" w:type="dxa"/>
            <w:tcBorders>
              <w:left w:val="nil"/>
            </w:tcBorders>
          </w:tcPr>
          <w:p w:rsidR="000B148C" w:rsidRDefault="000B148C" w:rsidP="00D96BD7">
            <w:pPr>
              <w:pStyle w:val="CRCoverPage"/>
              <w:spacing w:after="0"/>
              <w:ind w:right="100"/>
              <w:rPr>
                <w:noProof/>
              </w:rPr>
            </w:pPr>
          </w:p>
        </w:tc>
        <w:tc>
          <w:tcPr>
            <w:tcW w:w="1417" w:type="dxa"/>
            <w:gridSpan w:val="3"/>
            <w:tcBorders>
              <w:left w:val="nil"/>
            </w:tcBorders>
          </w:tcPr>
          <w:p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2020-0</w:t>
            </w:r>
            <w:r w:rsidR="00F61FF8">
              <w:t>6</w:t>
            </w:r>
            <w:r>
              <w:t>-</w:t>
            </w:r>
            <w:r w:rsidR="009C1BC1">
              <w:t>12</w:t>
            </w:r>
            <w:bookmarkStart w:id="2" w:name="_GoBack"/>
            <w:bookmarkEnd w:id="2"/>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1986" w:type="dxa"/>
            <w:gridSpan w:val="4"/>
          </w:tcPr>
          <w:p w:rsidR="000B148C" w:rsidRDefault="000B148C" w:rsidP="00D96BD7">
            <w:pPr>
              <w:pStyle w:val="CRCoverPage"/>
              <w:spacing w:after="0"/>
              <w:rPr>
                <w:noProof/>
                <w:sz w:val="8"/>
                <w:szCs w:val="8"/>
              </w:rPr>
            </w:pPr>
          </w:p>
        </w:tc>
        <w:tc>
          <w:tcPr>
            <w:tcW w:w="2267" w:type="dxa"/>
            <w:gridSpan w:val="2"/>
          </w:tcPr>
          <w:p w:rsidR="000B148C" w:rsidRDefault="000B148C" w:rsidP="00D96BD7">
            <w:pPr>
              <w:pStyle w:val="CRCoverPage"/>
              <w:spacing w:after="0"/>
              <w:rPr>
                <w:noProof/>
                <w:sz w:val="8"/>
                <w:szCs w:val="8"/>
              </w:rPr>
            </w:pPr>
          </w:p>
        </w:tc>
        <w:tc>
          <w:tcPr>
            <w:tcW w:w="1417" w:type="dxa"/>
            <w:gridSpan w:val="3"/>
          </w:tcPr>
          <w:p w:rsidR="000B148C" w:rsidRDefault="000B148C" w:rsidP="00D96BD7">
            <w:pPr>
              <w:pStyle w:val="CRCoverPage"/>
              <w:spacing w:after="0"/>
              <w:rPr>
                <w:noProof/>
                <w:sz w:val="8"/>
                <w:szCs w:val="8"/>
              </w:rPr>
            </w:pPr>
          </w:p>
        </w:tc>
        <w:tc>
          <w:tcPr>
            <w:tcW w:w="2127" w:type="dxa"/>
            <w:tcBorders>
              <w:right w:val="single" w:sz="4" w:space="0" w:color="auto"/>
            </w:tcBorders>
          </w:tcPr>
          <w:p w:rsidR="000B148C" w:rsidRDefault="000B148C" w:rsidP="00D96BD7">
            <w:pPr>
              <w:pStyle w:val="CRCoverPage"/>
              <w:spacing w:after="0"/>
              <w:rPr>
                <w:noProof/>
                <w:sz w:val="8"/>
                <w:szCs w:val="8"/>
              </w:rPr>
            </w:pPr>
          </w:p>
        </w:tc>
      </w:tr>
      <w:tr w:rsidR="000B148C" w:rsidTr="00D96BD7">
        <w:trPr>
          <w:cantSplit/>
        </w:trPr>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rsidR="000B148C" w:rsidRDefault="000B148C" w:rsidP="00D96BD7">
            <w:pPr>
              <w:pStyle w:val="CRCoverPage"/>
              <w:spacing w:after="0"/>
              <w:ind w:left="100" w:right="-609"/>
              <w:rPr>
                <w:b/>
                <w:noProof/>
              </w:rPr>
            </w:pPr>
            <w:r>
              <w:t>F</w:t>
            </w:r>
          </w:p>
        </w:tc>
        <w:tc>
          <w:tcPr>
            <w:tcW w:w="3402" w:type="dxa"/>
            <w:gridSpan w:val="5"/>
            <w:tcBorders>
              <w:left w:val="nil"/>
            </w:tcBorders>
          </w:tcPr>
          <w:p w:rsidR="000B148C" w:rsidRDefault="000B148C" w:rsidP="00D96BD7">
            <w:pPr>
              <w:pStyle w:val="CRCoverPage"/>
              <w:spacing w:after="0"/>
              <w:rPr>
                <w:noProof/>
              </w:rPr>
            </w:pPr>
          </w:p>
        </w:tc>
        <w:tc>
          <w:tcPr>
            <w:tcW w:w="1417" w:type="dxa"/>
            <w:gridSpan w:val="3"/>
            <w:tcBorders>
              <w:left w:val="nil"/>
            </w:tcBorders>
          </w:tcPr>
          <w:p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Rel-16</w:t>
            </w:r>
          </w:p>
        </w:tc>
      </w:tr>
      <w:tr w:rsidR="000B148C" w:rsidTr="00D96BD7">
        <w:tc>
          <w:tcPr>
            <w:tcW w:w="1843" w:type="dxa"/>
            <w:tcBorders>
              <w:left w:val="single" w:sz="4" w:space="0" w:color="auto"/>
              <w:bottom w:val="single" w:sz="4" w:space="0" w:color="auto"/>
            </w:tcBorders>
          </w:tcPr>
          <w:p w:rsidR="000B148C" w:rsidRDefault="000B148C" w:rsidP="00D96BD7">
            <w:pPr>
              <w:pStyle w:val="CRCoverPage"/>
              <w:spacing w:after="0"/>
              <w:rPr>
                <w:b/>
                <w:i/>
                <w:noProof/>
              </w:rPr>
            </w:pPr>
          </w:p>
        </w:tc>
        <w:tc>
          <w:tcPr>
            <w:tcW w:w="4677" w:type="dxa"/>
            <w:gridSpan w:val="8"/>
            <w:tcBorders>
              <w:bottom w:val="single" w:sz="4" w:space="0" w:color="auto"/>
            </w:tcBorders>
          </w:tcPr>
          <w:p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rsidTr="00D96BD7">
        <w:tc>
          <w:tcPr>
            <w:tcW w:w="1843" w:type="dxa"/>
          </w:tcPr>
          <w:p w:rsidR="000B148C" w:rsidRDefault="000B148C" w:rsidP="00D96BD7">
            <w:pPr>
              <w:pStyle w:val="CRCoverPage"/>
              <w:spacing w:after="0"/>
              <w:rPr>
                <w:b/>
                <w:i/>
                <w:noProof/>
                <w:sz w:val="8"/>
                <w:szCs w:val="8"/>
              </w:rPr>
            </w:pPr>
          </w:p>
        </w:tc>
        <w:tc>
          <w:tcPr>
            <w:tcW w:w="7797" w:type="dxa"/>
            <w:gridSpan w:val="10"/>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 xml:space="preserve">Correction on </w:t>
            </w:r>
            <w:r w:rsidR="00B92FC4" w:rsidRPr="00B87BCB">
              <w:rPr>
                <w:noProof/>
              </w:rPr>
              <w:t>single Tx switched uplink solution for EN-DC</w:t>
            </w:r>
            <w:r w:rsidR="00B92FC4" w:rsidRPr="00264859">
              <w:t xml:space="preserve"> </w:t>
            </w:r>
            <w:r w:rsidR="0054261F">
              <w:t>feature</w:t>
            </w:r>
            <w:r>
              <w:t xml:space="preserve"> of </w:t>
            </w:r>
            <w:r w:rsidR="00D2485A">
              <w:rPr>
                <w:lang w:eastAsia="fr-FR"/>
              </w:rPr>
              <w:t>Rel-16 MR DC/CA</w:t>
            </w:r>
            <w:r>
              <w:rPr>
                <w:noProof/>
              </w:rPr>
              <w:t>.</w:t>
            </w:r>
          </w:p>
          <w:p w:rsidR="00242EAE" w:rsidRDefault="00242EAE" w:rsidP="0054261F">
            <w:pPr>
              <w:pStyle w:val="CRCoverPage"/>
              <w:spacing w:after="0"/>
              <w:ind w:left="100"/>
              <w:rPr>
                <w:bCs/>
                <w:iCs/>
                <w:lang w:eastAsia="ja-JP" w:bidi="hi-IN"/>
              </w:rPr>
            </w:pPr>
            <w:r>
              <w:rPr>
                <w:lang w:eastAsia="x-none"/>
              </w:rPr>
              <w:t xml:space="preserve">Reflect the RAN1 #100bis-e agreement on R16 Type 2 UE: </w:t>
            </w:r>
            <w:r w:rsidRPr="000D2608">
              <w:rPr>
                <w:rFonts w:hint="eastAsia"/>
                <w:bCs/>
                <w:iCs/>
                <w:lang w:eastAsia="ja-JP" w:bidi="hi-IN"/>
              </w:rPr>
              <w:t>R</w:t>
            </w:r>
            <w:r w:rsidRPr="000D2608">
              <w:rPr>
                <w:bCs/>
                <w:iCs/>
                <w:lang w:eastAsia="ja-JP" w:bidi="hi-IN"/>
              </w:rPr>
              <w:t>AN1 agreed to update FG8-1 “Dynamic power sharing for LTE-NR DC” for Rel-16 so that Rel-16 UEs are required to set the capability bit for FG8-1 to 1 i.e., supported. This is applied from Rel-16 (not to Rel-15).</w:t>
            </w:r>
          </w:p>
          <w:p w:rsidR="00242EAE" w:rsidRDefault="00242EAE" w:rsidP="0054261F">
            <w:pPr>
              <w:pStyle w:val="CRCoverPage"/>
              <w:spacing w:after="0"/>
              <w:ind w:left="100"/>
              <w:rPr>
                <w:bCs/>
                <w:iCs/>
                <w:lang w:eastAsia="ja-JP" w:bidi="hi-IN"/>
              </w:rPr>
            </w:pPr>
            <w:r w:rsidRPr="00242EAE">
              <w:rPr>
                <w:bCs/>
                <w:iCs/>
                <w:lang w:eastAsia="ja-JP" w:bidi="hi-IN"/>
              </w:rPr>
              <w:t>Captur</w:t>
            </w:r>
            <w:r>
              <w:rPr>
                <w:bCs/>
                <w:iCs/>
                <w:lang w:eastAsia="ja-JP" w:bidi="hi-IN"/>
              </w:rPr>
              <w:t>e</w:t>
            </w:r>
            <w:r w:rsidRPr="00242EAE">
              <w:rPr>
                <w:bCs/>
                <w:iCs/>
                <w:lang w:eastAsia="ja-JP" w:bidi="hi-IN"/>
              </w:rPr>
              <w:t xml:space="preserve"> the RAN1#99 meeting agreements on </w:t>
            </w:r>
            <w:r>
              <w:rPr>
                <w:lang w:eastAsia="x-none"/>
              </w:rPr>
              <w:t xml:space="preserve">R16 Type 1 </w:t>
            </w:r>
            <w:r w:rsidRPr="00242EAE">
              <w:rPr>
                <w:bCs/>
                <w:iCs/>
                <w:lang w:eastAsia="ja-JP" w:bidi="hi-IN"/>
              </w:rPr>
              <w:t>UE capability of semi-static configured LTE UL transmission</w:t>
            </w:r>
            <w:r>
              <w:rPr>
                <w:bCs/>
                <w:iCs/>
                <w:lang w:eastAsia="ja-JP" w:bidi="hi-IN"/>
              </w:rPr>
              <w:t xml:space="preserve"> - </w:t>
            </w:r>
            <w:r w:rsidRPr="00242EAE">
              <w:rPr>
                <w:bCs/>
                <w:iCs/>
                <w:lang w:eastAsia="ja-JP" w:bidi="hi-IN"/>
              </w:rPr>
              <w:t>semi-statically configured LTE UL transmissions are allowed in all UL subframes</w:t>
            </w:r>
          </w:p>
          <w:p w:rsidR="00065486" w:rsidRDefault="00065486" w:rsidP="0054261F">
            <w:pPr>
              <w:pStyle w:val="CRCoverPage"/>
              <w:spacing w:after="0"/>
              <w:ind w:left="100"/>
              <w:rPr>
                <w:noProof/>
              </w:rPr>
            </w:pP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2EAE" w:rsidRDefault="00065486" w:rsidP="00065486">
            <w:pPr>
              <w:pStyle w:val="CRCoverPage"/>
              <w:spacing w:after="0"/>
              <w:ind w:left="100"/>
              <w:rPr>
                <w:rFonts w:cs="Arial"/>
                <w:noProof/>
              </w:rPr>
            </w:pPr>
            <w:r w:rsidRPr="00065486">
              <w:rPr>
                <w:rFonts w:cs="Arial"/>
                <w:noProof/>
              </w:rPr>
              <w:t>[10</w:t>
            </w:r>
            <w:r w:rsidR="0021108F">
              <w:rPr>
                <w:rFonts w:cs="Arial"/>
                <w:noProof/>
              </w:rPr>
              <w:t>1</w:t>
            </w:r>
            <w:r w:rsidRPr="00065486">
              <w:rPr>
                <w:rFonts w:cs="Arial"/>
                <w:noProof/>
              </w:rPr>
              <w:t>-e-NR- LTE_NR_DC_CA-SingleTx]</w:t>
            </w:r>
            <w:r w:rsidR="00242EAE">
              <w:rPr>
                <w:rFonts w:cs="Arial"/>
                <w:noProof/>
              </w:rPr>
              <w:t xml:space="preserve"> I</w:t>
            </w:r>
            <w:r w:rsidR="00242EAE" w:rsidRPr="00605FD2">
              <w:rPr>
                <w:rFonts w:cs="Arial"/>
                <w:noProof/>
              </w:rPr>
              <w:t xml:space="preserve">nclude the </w:t>
            </w:r>
            <w:r w:rsidR="00242EAE">
              <w:rPr>
                <w:rFonts w:cs="Arial"/>
                <w:noProof/>
              </w:rPr>
              <w:t>endorsed text proposals:</w:t>
            </w:r>
          </w:p>
          <w:p w:rsidR="00242EAE" w:rsidRDefault="00242EAE" w:rsidP="00065486">
            <w:pPr>
              <w:pStyle w:val="CRCoverPage"/>
              <w:spacing w:after="0"/>
              <w:ind w:left="100"/>
              <w:rPr>
                <w:iCs/>
              </w:rPr>
            </w:pPr>
            <w:r>
              <w:rPr>
                <w:rFonts w:cs="Arial"/>
                <w:noProof/>
              </w:rPr>
              <w:t>R</w:t>
            </w:r>
            <w:r w:rsidRPr="00242EAE">
              <w:rPr>
                <w:rFonts w:cs="Arial"/>
                <w:noProof/>
              </w:rPr>
              <w:t>emove corresponding text on R16 UE behavior without capability of dynamic power sharing</w:t>
            </w:r>
            <w:r>
              <w:rPr>
                <w:rFonts w:cs="Arial"/>
                <w:noProof/>
              </w:rPr>
              <w:t xml:space="preserve"> </w:t>
            </w:r>
            <w:r>
              <w:rPr>
                <w:iCs/>
              </w:rPr>
              <w:t>in section 5.1, 6, and 8.</w:t>
            </w:r>
          </w:p>
          <w:p w:rsidR="00242EAE" w:rsidRDefault="00242EAE" w:rsidP="00065486">
            <w:pPr>
              <w:pStyle w:val="CRCoverPage"/>
              <w:spacing w:after="0"/>
              <w:ind w:left="100"/>
              <w:rPr>
                <w:iCs/>
              </w:rPr>
            </w:pPr>
          </w:p>
          <w:p w:rsidR="000B148C" w:rsidRPr="00242EAE" w:rsidRDefault="00242EAE" w:rsidP="00065486">
            <w:pPr>
              <w:pStyle w:val="CRCoverPage"/>
              <w:spacing w:after="0"/>
              <w:ind w:left="100"/>
              <w:rPr>
                <w:rFonts w:cs="Arial"/>
                <w:noProof/>
              </w:rPr>
            </w:pPr>
            <w:r>
              <w:rPr>
                <w:lang w:eastAsia="ja-JP" w:bidi="hi-IN"/>
              </w:rPr>
              <w:t xml:space="preserve">If the </w:t>
            </w:r>
            <w:r w:rsidRPr="008C6A81">
              <w:rPr>
                <w:rFonts w:hint="eastAsia"/>
                <w:lang w:eastAsia="ja-JP" w:bidi="hi-IN"/>
              </w:rPr>
              <w:t>UE reports the capability</w:t>
            </w:r>
            <w:r>
              <w:rPr>
                <w:rFonts w:hint="eastAsia"/>
                <w:lang w:eastAsia="ja-JP" w:bidi="hi-IN"/>
              </w:rPr>
              <w:t xml:space="preserve"> </w:t>
            </w:r>
            <w:r>
              <w:rPr>
                <w:lang w:eastAsia="ja-JP" w:bidi="hi-IN"/>
              </w:rPr>
              <w:t>"</w:t>
            </w:r>
            <w:r w:rsidRPr="008C6A81">
              <w:rPr>
                <w:rFonts w:hint="eastAsia"/>
                <w:lang w:eastAsia="ja-JP" w:bidi="hi-IN"/>
              </w:rPr>
              <w:t>semi-staticULTransInAllSubframes</w:t>
            </w:r>
            <w:r>
              <w:rPr>
                <w:rFonts w:hint="eastAsia"/>
                <w:lang w:eastAsia="ja-JP" w:bidi="hi-IN"/>
              </w:rPr>
              <w:t>"</w:t>
            </w:r>
            <w:r w:rsidRPr="008C6A81">
              <w:rPr>
                <w:rFonts w:hint="eastAsia"/>
                <w:lang w:eastAsia="ja-JP" w:bidi="hi-IN"/>
              </w:rPr>
              <w:t>, the UE can be configured with any semi-static LTE UL on any UL subframes (and the UE does transmit the semi-static LTE UL on these UL subframes)</w:t>
            </w:r>
            <w:r>
              <w:rPr>
                <w:lang w:eastAsia="ja-JP" w:bidi="hi-IN"/>
              </w:rPr>
              <w:t>,  o</w:t>
            </w:r>
            <w:r w:rsidRPr="008C6A81">
              <w:rPr>
                <w:rFonts w:hint="eastAsia"/>
                <w:lang w:eastAsia="ja-JP" w:bidi="hi-IN"/>
              </w:rPr>
              <w:t>therwise if the UE does not report the capability</w:t>
            </w:r>
            <w:r>
              <w:rPr>
                <w:lang w:eastAsia="ja-JP" w:bidi="hi-IN"/>
              </w:rPr>
              <w:t xml:space="preserve"> "</w:t>
            </w:r>
            <w:r w:rsidRPr="008C6A81">
              <w:rPr>
                <w:rFonts w:hint="eastAsia"/>
                <w:lang w:eastAsia="ja-JP" w:bidi="hi-IN"/>
              </w:rPr>
              <w:t>semi-staticULTransInAllSubframes</w:t>
            </w:r>
            <w:r>
              <w:rPr>
                <w:rFonts w:hint="eastAsia"/>
                <w:lang w:eastAsia="ja-JP" w:bidi="hi-IN"/>
              </w:rPr>
              <w:t>"</w:t>
            </w:r>
            <w:r w:rsidRPr="008C6A81">
              <w:rPr>
                <w:rFonts w:hint="eastAsia"/>
                <w:lang w:eastAsia="ja-JP" w:bidi="hi-IN"/>
              </w:rPr>
              <w:t xml:space="preserve">, the UE behavior is </w:t>
            </w:r>
            <w:r>
              <w:rPr>
                <w:lang w:eastAsia="ja-JP" w:bidi="hi-IN"/>
              </w:rPr>
              <w:t xml:space="preserve">similar as (or </w:t>
            </w:r>
            <w:r w:rsidRPr="008C6A81">
              <w:rPr>
                <w:rFonts w:hint="eastAsia"/>
                <w:lang w:eastAsia="ja-JP" w:bidi="hi-IN"/>
              </w:rPr>
              <w:t>fallback to</w:t>
            </w:r>
            <w:r>
              <w:rPr>
                <w:lang w:eastAsia="ja-JP" w:bidi="hi-IN"/>
              </w:rPr>
              <w:t>)</w:t>
            </w:r>
            <w:r w:rsidRPr="008C6A81">
              <w:rPr>
                <w:rFonts w:hint="eastAsia"/>
                <w:lang w:eastAsia="ja-JP" w:bidi="hi-IN"/>
              </w:rPr>
              <w:t xml:space="preserve"> R</w:t>
            </w:r>
            <w:r>
              <w:rPr>
                <w:lang w:eastAsia="ja-JP" w:bidi="hi-IN"/>
              </w:rPr>
              <w:t>el-</w:t>
            </w:r>
            <w:r w:rsidRPr="008C6A81">
              <w:rPr>
                <w:rFonts w:hint="eastAsia"/>
                <w:lang w:eastAsia="ja-JP" w:bidi="hi-IN"/>
              </w:rPr>
              <w:t>15</w:t>
            </w:r>
            <w:r>
              <w:rPr>
                <w:lang w:eastAsia="ja-JP" w:bidi="hi-IN"/>
              </w:rPr>
              <w:t xml:space="preserve"> - added in section 5.1 and 8.</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151B" w:rsidRDefault="000B041D" w:rsidP="0054261F">
            <w:pPr>
              <w:pStyle w:val="CRCoverPage"/>
              <w:spacing w:after="0"/>
              <w:ind w:left="100"/>
              <w:rPr>
                <w:rFonts w:cs="Arial"/>
              </w:rPr>
            </w:pPr>
            <w:r>
              <w:rPr>
                <w:rFonts w:cs="Arial"/>
              </w:rPr>
              <w:t>Incomplete specification</w:t>
            </w:r>
            <w:r w:rsidR="00BC151B">
              <w:rPr>
                <w:rFonts w:cs="Arial"/>
              </w:rPr>
              <w:t xml:space="preserve"> </w:t>
            </w:r>
            <w:r w:rsidR="00BC151B">
              <w:rPr>
                <w:noProof/>
              </w:rPr>
              <w:t>for</w:t>
            </w:r>
            <w:r w:rsidR="00BC151B" w:rsidRPr="00CE5DB1">
              <w:t xml:space="preserve"> </w:t>
            </w:r>
            <w:r w:rsidR="00BC151B" w:rsidRPr="00B87BCB">
              <w:rPr>
                <w:noProof/>
              </w:rPr>
              <w:t>single Tx switched uplink solution for EN-DC</w:t>
            </w:r>
            <w:r w:rsidR="00BC151B" w:rsidRPr="00264859">
              <w:t xml:space="preserve"> </w:t>
            </w:r>
            <w:r w:rsidR="00BC151B">
              <w:t xml:space="preserve">feature of </w:t>
            </w:r>
            <w:r w:rsidR="00BC151B">
              <w:rPr>
                <w:lang w:eastAsia="fr-FR"/>
              </w:rPr>
              <w:t>Rel-16 MR DC/CA</w:t>
            </w:r>
            <w:r w:rsidR="00BC151B">
              <w:rPr>
                <w:rFonts w:cs="Arial"/>
              </w:rPr>
              <w:t>:</w:t>
            </w:r>
          </w:p>
          <w:p w:rsidR="00BC151B" w:rsidRDefault="00BC151B" w:rsidP="0054261F">
            <w:pPr>
              <w:pStyle w:val="CRCoverPage"/>
              <w:spacing w:after="0"/>
              <w:ind w:left="100"/>
              <w:rPr>
                <w:lang w:eastAsia="ja-JP" w:bidi="hi-IN"/>
              </w:rPr>
            </w:pPr>
            <w:r>
              <w:rPr>
                <w:lang w:eastAsia="ja-JP" w:bidi="hi-IN"/>
              </w:rPr>
              <w:t>Not</w:t>
            </w:r>
            <w:r w:rsidRPr="000D2608">
              <w:rPr>
                <w:lang w:eastAsia="ja-JP" w:bidi="hi-IN"/>
              </w:rPr>
              <w:t xml:space="preserve"> aligned with the agreement</w:t>
            </w:r>
            <w:r>
              <w:rPr>
                <w:lang w:eastAsia="ja-JP" w:bidi="hi-IN"/>
              </w:rPr>
              <w:t xml:space="preserve"> from RAN1 #100bis-e</w:t>
            </w:r>
          </w:p>
          <w:p w:rsidR="000B148C" w:rsidRDefault="00BC151B" w:rsidP="0054261F">
            <w:pPr>
              <w:pStyle w:val="CRCoverPage"/>
              <w:spacing w:after="0"/>
              <w:ind w:left="100"/>
              <w:rPr>
                <w:lang w:eastAsia="ja-JP" w:bidi="hi-IN"/>
              </w:rPr>
            </w:pPr>
            <w:r>
              <w:rPr>
                <w:lang w:eastAsia="ja-JP" w:bidi="hi-IN"/>
              </w:rPr>
              <w:t>It’s not clear whether UE is allowed to transmit the configured semi-static LTE UL transmission on any UL subframe and UE behavior is not defined for UE with capability for semi-static transmission on all UL subframes and for UE without capability for semi-static transmission on all UL subframes.</w:t>
            </w:r>
          </w:p>
        </w:tc>
      </w:tr>
      <w:tr w:rsidR="000B148C" w:rsidTr="00D96BD7">
        <w:tc>
          <w:tcPr>
            <w:tcW w:w="2694" w:type="dxa"/>
            <w:gridSpan w:val="2"/>
          </w:tcPr>
          <w:p w:rsidR="000B148C" w:rsidRDefault="000B148C" w:rsidP="00D96BD7">
            <w:pPr>
              <w:pStyle w:val="CRCoverPage"/>
              <w:spacing w:after="0"/>
              <w:rPr>
                <w:b/>
                <w:i/>
                <w:noProof/>
                <w:sz w:val="8"/>
                <w:szCs w:val="8"/>
              </w:rPr>
            </w:pPr>
          </w:p>
        </w:tc>
        <w:tc>
          <w:tcPr>
            <w:tcW w:w="6946" w:type="dxa"/>
            <w:gridSpan w:val="9"/>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148C" w:rsidRDefault="00B053F9" w:rsidP="00D96BD7">
            <w:pPr>
              <w:pStyle w:val="CRCoverPage"/>
              <w:spacing w:after="0"/>
              <w:ind w:left="100"/>
              <w:rPr>
                <w:noProof/>
              </w:rPr>
            </w:pPr>
            <w:r>
              <w:rPr>
                <w:rFonts w:cs="Arial"/>
                <w:noProof/>
              </w:rPr>
              <w:t>5.1, 6, 8</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48C" w:rsidRDefault="000B148C" w:rsidP="00D96BD7">
            <w:pPr>
              <w:pStyle w:val="CRCoverPage"/>
              <w:spacing w:after="0"/>
              <w:jc w:val="center"/>
              <w:rPr>
                <w:b/>
                <w:caps/>
                <w:noProof/>
              </w:rPr>
            </w:pPr>
            <w:r>
              <w:rPr>
                <w:b/>
                <w:caps/>
                <w:noProof/>
              </w:rPr>
              <w:t>N</w:t>
            </w:r>
          </w:p>
        </w:tc>
        <w:tc>
          <w:tcPr>
            <w:tcW w:w="2977" w:type="dxa"/>
            <w:gridSpan w:val="4"/>
          </w:tcPr>
          <w:p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148C" w:rsidRDefault="000B148C" w:rsidP="00D96BD7">
            <w:pPr>
              <w:pStyle w:val="CRCoverPage"/>
              <w:spacing w:after="0"/>
              <w:ind w:left="99"/>
              <w:rPr>
                <w:noProof/>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p>
        </w:tc>
        <w:tc>
          <w:tcPr>
            <w:tcW w:w="2977" w:type="dxa"/>
            <w:gridSpan w:val="4"/>
          </w:tcPr>
          <w:p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TS 36.211</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p>
        </w:tc>
        <w:tc>
          <w:tcPr>
            <w:tcW w:w="6946" w:type="dxa"/>
            <w:gridSpan w:val="9"/>
            <w:tcBorders>
              <w:right w:val="single" w:sz="4" w:space="0" w:color="auto"/>
            </w:tcBorders>
          </w:tcPr>
          <w:p w:rsidR="000B148C" w:rsidRDefault="000B148C" w:rsidP="00D96BD7">
            <w:pPr>
              <w:pStyle w:val="CRCoverPage"/>
              <w:spacing w:after="0"/>
              <w:rPr>
                <w:noProof/>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r w:rsidR="000B148C" w:rsidRPr="008863B9" w:rsidTr="00D96BD7">
        <w:tc>
          <w:tcPr>
            <w:tcW w:w="2694" w:type="dxa"/>
            <w:gridSpan w:val="2"/>
            <w:tcBorders>
              <w:top w:val="single" w:sz="4" w:space="0" w:color="auto"/>
              <w:bottom w:val="single" w:sz="4" w:space="0" w:color="auto"/>
            </w:tcBorders>
          </w:tcPr>
          <w:p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148C" w:rsidRPr="008863B9" w:rsidRDefault="000B148C" w:rsidP="00D96BD7">
            <w:pPr>
              <w:pStyle w:val="CRCoverPage"/>
              <w:spacing w:after="0"/>
              <w:ind w:left="100"/>
              <w:rPr>
                <w:noProof/>
                <w:sz w:val="8"/>
                <w:szCs w:val="8"/>
              </w:rPr>
            </w:pPr>
          </w:p>
        </w:tc>
      </w:tr>
      <w:tr w:rsidR="000B148C" w:rsidTr="00D96BD7">
        <w:tc>
          <w:tcPr>
            <w:tcW w:w="2694" w:type="dxa"/>
            <w:gridSpan w:val="2"/>
            <w:tcBorders>
              <w:top w:val="single" w:sz="4" w:space="0" w:color="auto"/>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bl>
    <w:p w:rsidR="000B148C" w:rsidRDefault="000B148C" w:rsidP="000B148C">
      <w:pPr>
        <w:pStyle w:val="CRCoverPage"/>
        <w:spacing w:after="0"/>
        <w:rPr>
          <w:noProof/>
          <w:sz w:val="8"/>
          <w:szCs w:val="8"/>
        </w:rPr>
      </w:pPr>
    </w:p>
    <w:p w:rsidR="000B148C" w:rsidRDefault="000B148C" w:rsidP="000B148C">
      <w:pPr>
        <w:spacing w:after="0"/>
        <w:rPr>
          <w:rFonts w:ascii="Arial" w:hAnsi="Arial" w:cs="Arial"/>
          <w:bCs/>
          <w:lang w:val="en-CA"/>
        </w:rPr>
      </w:pPr>
      <w:r>
        <w:rPr>
          <w:rFonts w:ascii="Arial" w:hAnsi="Arial" w:cs="Arial"/>
          <w:bCs/>
          <w:lang w:val="en-CA"/>
        </w:rPr>
        <w:br w:type="page"/>
      </w:r>
    </w:p>
    <w:p w:rsidR="00BA47CA" w:rsidRPr="0023299F" w:rsidRDefault="00BA47CA" w:rsidP="00BA47CA">
      <w:pPr>
        <w:pStyle w:val="Heading2"/>
      </w:pPr>
      <w:bookmarkStart w:id="3" w:name="_Toc415085426"/>
      <w:bookmarkStart w:id="4" w:name="_Toc415085478"/>
      <w:r w:rsidRPr="0023299F">
        <w:rPr>
          <w:rFonts w:hint="eastAsia"/>
        </w:rPr>
        <w:lastRenderedPageBreak/>
        <w:t>5.1</w:t>
      </w:r>
      <w:r w:rsidRPr="0023299F">
        <w:rPr>
          <w:rFonts w:hint="eastAsia"/>
        </w:rPr>
        <w:tab/>
      </w:r>
      <w:r w:rsidRPr="0023299F">
        <w:t>Uplink power control</w:t>
      </w:r>
      <w:bookmarkEnd w:id="3"/>
    </w:p>
    <w:p w:rsidR="00BA47CA" w:rsidRPr="0023299F" w:rsidRDefault="00BA47CA" w:rsidP="00BA47CA">
      <w:r w:rsidRPr="0023299F">
        <w:t xml:space="preserve">If the UE is configured with </w:t>
      </w:r>
      <w:r>
        <w:rPr>
          <w:i/>
        </w:rPr>
        <w:t>s</w:t>
      </w:r>
      <w:r w:rsidRPr="0023299F">
        <w:rPr>
          <w:rFonts w:hint="eastAsia"/>
          <w:i/>
        </w:rPr>
        <w:t>hortTTI</w:t>
      </w:r>
      <w:r w:rsidRPr="0023299F">
        <w:t xml:space="preserve">, PUCCH in this clause refers to SPUCCH defined in [3] if the HARQ-ACK is sent in response to PDSCH scheduled by DCI format 7-1A/1B/1C/1D/1E/1F/1G or </w:t>
      </w:r>
      <w:r>
        <w:t xml:space="preserve">if the </w:t>
      </w:r>
      <w:r w:rsidRPr="0023299F">
        <w:t xml:space="preserve">scheduling request is sent on resources configured by higher layer parameter </w:t>
      </w:r>
      <w:r w:rsidRPr="0023299F">
        <w:rPr>
          <w:i/>
        </w:rPr>
        <w:t>sr-</w:t>
      </w:r>
      <w:r>
        <w:rPr>
          <w:i/>
        </w:rPr>
        <w:t>S</w:t>
      </w:r>
      <w:r w:rsidRPr="0023299F">
        <w:rPr>
          <w:i/>
        </w:rPr>
        <w:t>lotSPUCCH-IndexFH or sr-</w:t>
      </w:r>
      <w:r>
        <w:rPr>
          <w:i/>
        </w:rPr>
        <w:t>S</w:t>
      </w:r>
      <w:r w:rsidRPr="0023299F">
        <w:rPr>
          <w:i/>
        </w:rPr>
        <w:t>lotSPUCCH-IndexNoFH or sr-sub</w:t>
      </w:r>
      <w:r>
        <w:rPr>
          <w:i/>
        </w:rPr>
        <w:t>S</w:t>
      </w:r>
      <w:r w:rsidRPr="0023299F">
        <w:rPr>
          <w:i/>
        </w:rPr>
        <w:t>lotSPUCCH-Resource</w:t>
      </w:r>
      <w:r w:rsidRPr="0023299F">
        <w:t xml:space="preserve"> for slot/subslot-based transmissions, unless otherwise noted. </w:t>
      </w:r>
    </w:p>
    <w:p w:rsidR="00BA47CA" w:rsidRPr="0023299F" w:rsidRDefault="00BA47CA" w:rsidP="00BA47CA">
      <w:r w:rsidRPr="0023299F">
        <w:t>If the UE is not configured with</w:t>
      </w:r>
      <w:r>
        <w:t xml:space="preserve"> </w:t>
      </w:r>
      <w:r>
        <w:rPr>
          <w:i/>
        </w:rPr>
        <w:t>s</w:t>
      </w:r>
      <w:r w:rsidRPr="0023299F">
        <w:rPr>
          <w:rFonts w:hint="eastAsia"/>
          <w:i/>
        </w:rPr>
        <w:t>hortTTI</w:t>
      </w:r>
      <w:r w:rsidRPr="0023299F">
        <w:rPr>
          <w:i/>
        </w:rPr>
        <w:t xml:space="preserve"> </w:t>
      </w:r>
      <w:r w:rsidRPr="0023299F">
        <w:t>or the UE is configured with</w:t>
      </w:r>
      <w:r>
        <w:t xml:space="preserve"> </w:t>
      </w:r>
      <w:r>
        <w:rPr>
          <w:i/>
        </w:rPr>
        <w:t>s</w:t>
      </w:r>
      <w:r w:rsidRPr="0023299F">
        <w:rPr>
          <w:rFonts w:hint="eastAsia"/>
          <w:i/>
        </w:rPr>
        <w:t>hortTTI</w:t>
      </w:r>
      <w:r w:rsidRPr="0023299F">
        <w:t xml:space="preserve">, and UCI is to be transmitted in a subframe, the term </w:t>
      </w:r>
      <w:r>
        <w:t>'</w:t>
      </w:r>
      <w:r w:rsidRPr="0023299F">
        <w:t>subframe/slot/subslot</w:t>
      </w:r>
      <w:r>
        <w:t>'</w:t>
      </w:r>
      <w:r w:rsidRPr="0023299F">
        <w:t xml:space="preserve"> or </w:t>
      </w:r>
      <w:r>
        <w:t>'</w:t>
      </w:r>
      <w:r w:rsidRPr="0023299F">
        <w:t>subframe/slot</w:t>
      </w:r>
      <w:r>
        <w:t>'</w:t>
      </w:r>
      <w:r w:rsidRPr="0023299F">
        <w:t xml:space="preserve"> refers to a subframe in this clause.</w:t>
      </w:r>
    </w:p>
    <w:p w:rsidR="00BA47CA" w:rsidRPr="0023299F" w:rsidRDefault="00BA47CA" w:rsidP="00BA47CA">
      <w:r w:rsidRPr="0023299F">
        <w:t>If the UE is configured with</w:t>
      </w:r>
      <w:r>
        <w:t xml:space="preserve"> </w:t>
      </w:r>
      <w:r>
        <w:rPr>
          <w:i/>
        </w:rPr>
        <w:t>s</w:t>
      </w:r>
      <w:r w:rsidRPr="0023299F">
        <w:rPr>
          <w:rFonts w:hint="eastAsia"/>
          <w:i/>
        </w:rPr>
        <w:t>hortTTI</w:t>
      </w:r>
      <w:r w:rsidRPr="0023299F">
        <w:t xml:space="preserve">, and UCI is to be transmitted in a slot, the term </w:t>
      </w:r>
      <w:r>
        <w:t>'</w:t>
      </w:r>
      <w:r w:rsidRPr="0023299F">
        <w:t>subframe/slot/subslot</w:t>
      </w:r>
      <w:r>
        <w:t>'</w:t>
      </w:r>
      <w:r w:rsidRPr="0023299F">
        <w:t xml:space="preserve"> or </w:t>
      </w:r>
      <w:r>
        <w:t>'</w:t>
      </w:r>
      <w:r w:rsidRPr="0023299F">
        <w:t>slot/subslot</w:t>
      </w:r>
      <w:r>
        <w:t>'</w:t>
      </w:r>
      <w:r w:rsidRPr="0023299F">
        <w:t xml:space="preserve"> or </w:t>
      </w:r>
      <w:r>
        <w:t>'</w:t>
      </w:r>
      <w:r w:rsidRPr="0023299F">
        <w:t>subframe/slot</w:t>
      </w:r>
      <w:r>
        <w:t>'</w:t>
      </w:r>
      <w:r w:rsidRPr="0023299F">
        <w:t xml:space="preserve"> refers to a slot in this clause.</w:t>
      </w:r>
    </w:p>
    <w:p w:rsidR="00BA47CA" w:rsidRPr="0023299F" w:rsidRDefault="00BA47CA" w:rsidP="00BA47CA">
      <w:r w:rsidRPr="0023299F">
        <w:t>If the UE is configured with</w:t>
      </w:r>
      <w:r>
        <w:t xml:space="preserve"> </w:t>
      </w:r>
      <w:r>
        <w:rPr>
          <w:i/>
        </w:rPr>
        <w:t>s</w:t>
      </w:r>
      <w:r w:rsidRPr="0023299F">
        <w:rPr>
          <w:rFonts w:hint="eastAsia"/>
          <w:i/>
        </w:rPr>
        <w:t>hortTTI</w:t>
      </w:r>
      <w:r w:rsidRPr="0023299F">
        <w:t xml:space="preserve">, and UCI is to be transmitted in a subslot, the term </w:t>
      </w:r>
      <w:r>
        <w:t>'</w:t>
      </w:r>
      <w:r w:rsidRPr="0023299F">
        <w:t>subframe/slot/subslot</w:t>
      </w:r>
      <w:r>
        <w:t>'</w:t>
      </w:r>
      <w:r w:rsidRPr="0023299F">
        <w:t xml:space="preserve"> or </w:t>
      </w:r>
      <w:r>
        <w:t>'</w:t>
      </w:r>
      <w:r w:rsidRPr="0023299F">
        <w:t>slot/subslot</w:t>
      </w:r>
      <w:r>
        <w:t>'</w:t>
      </w:r>
      <w:r w:rsidRPr="0023299F">
        <w:t xml:space="preserve"> refers to a subslot in this clause. </w:t>
      </w:r>
    </w:p>
    <w:p w:rsidR="00BA47CA" w:rsidRDefault="00BA47CA" w:rsidP="00BA47CA">
      <w:pPr>
        <w:rPr>
          <w:lang w:val="en-US" w:eastAsia="ko-KR"/>
        </w:rPr>
      </w:pPr>
      <w:r w:rsidRPr="0023299F">
        <w:rPr>
          <w:lang w:val="en-US" w:eastAsia="ko-KR"/>
        </w:rPr>
        <w:t>Throughout this s</w:t>
      </w:r>
      <w:r>
        <w:rPr>
          <w:lang w:val="en-US" w:eastAsia="ko-KR"/>
        </w:rPr>
        <w:t>ubclause</w:t>
      </w:r>
      <w:r w:rsidRPr="0023299F">
        <w:rPr>
          <w:lang w:val="en-US" w:eastAsia="ko-KR"/>
        </w:rPr>
        <w:t xml:space="preserve">, </w:t>
      </w:r>
    </w:p>
    <w:p w:rsidR="00BA47CA" w:rsidRDefault="00BA47CA" w:rsidP="00BA47CA">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7BDB184B" wp14:editId="1F3FFED1">
            <wp:extent cx="36195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751F5E48" wp14:editId="4F70DF80">
            <wp:extent cx="3810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rsidR="00BA47CA" w:rsidRDefault="00BA47CA" w:rsidP="00BA47CA">
      <w:pPr>
        <w:pStyle w:val="B1"/>
      </w:pPr>
      <w:r>
        <w:rPr>
          <w:lang w:val="en-US" w:eastAsia="ko-KR"/>
        </w:rPr>
        <w:t>-</w:t>
      </w:r>
      <w:r>
        <w:rPr>
          <w:lang w:val="en-US" w:eastAsia="ko-KR"/>
        </w:rPr>
        <w:tab/>
      </w:r>
      <w:r w:rsidRPr="0023299F">
        <w:rPr>
          <w:lang w:val="en-US" w:eastAsia="ko-KR"/>
        </w:rPr>
        <w:t xml:space="preserve">if the UE is configured with higher layer parameter </w:t>
      </w:r>
      <w:r w:rsidRPr="0086199A">
        <w:rPr>
          <w:i/>
        </w:rPr>
        <w:t>shortTTI</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5pt" o:ole="">
            <v:imagedata r:id="rId13" o:title=""/>
          </v:shape>
          <o:OLEObject Type="Embed" ProgID="Equation.3" ShapeID="_x0000_i1025" DrawAspect="Content" ObjectID="_1653474257" r:id="rId14"/>
        </w:object>
      </w:r>
      <w:r w:rsidRPr="0023299F">
        <w:t xml:space="preserve">is </w:t>
      </w:r>
      <w:r>
        <w:t>given by</w:t>
      </w:r>
      <w:r w:rsidRPr="0023299F">
        <w:t xml:space="preserve"> higher layer </w:t>
      </w:r>
      <w:r>
        <w:t xml:space="preserve">parameter </w:t>
      </w:r>
      <w:r w:rsidRPr="006B2858">
        <w:rPr>
          <w:i/>
        </w:rPr>
        <w:t>proc-TimeAdv</w:t>
      </w:r>
      <w:r w:rsidRPr="0023299F">
        <w:t xml:space="preserve"> from </w:t>
      </w:r>
      <w:r w:rsidRPr="0023299F">
        <w:rPr>
          <w:i/>
          <w:position w:val="-10"/>
          <w:lang w:val="en-US" w:eastAsia="ko-KR"/>
        </w:rPr>
        <w:object w:dxaOrig="660" w:dyaOrig="336">
          <v:shape id="_x0000_i1026" type="#_x0000_t75" style="width:33pt;height:16.5pt" o:ole="">
            <v:imagedata r:id="rId15" o:title=""/>
          </v:shape>
          <o:OLEObject Type="Embed" ProgID="Equation.3" ShapeID="_x0000_i1026" DrawAspect="Content" ObjectID="_1653474258" r:id="rId16"/>
        </w:object>
      </w:r>
      <w:r w:rsidRPr="0023299F">
        <w:t>, otherwise</w:t>
      </w:r>
      <w:r w:rsidRPr="0023299F">
        <w:rPr>
          <w:i/>
          <w:position w:val="-14"/>
          <w:lang w:val="en-US" w:eastAsia="ko-KR"/>
        </w:rPr>
        <w:object w:dxaOrig="756" w:dyaOrig="384">
          <v:shape id="_x0000_i1027" type="#_x0000_t75" style="width:37.5pt;height:19.5pt" o:ole="">
            <v:imagedata r:id="rId17" o:title=""/>
          </v:shape>
          <o:OLEObject Type="Embed" ProgID="Equation.3" ShapeID="_x0000_i1027" DrawAspect="Content" ObjectID="_1653474259" r:id="rId18"/>
        </w:object>
      </w:r>
      <w:r w:rsidRPr="0023299F">
        <w:t>.</w:t>
      </w:r>
    </w:p>
    <w:p w:rsidR="00BA47CA" w:rsidRPr="0023299F" w:rsidRDefault="00BA47CA" w:rsidP="00BA47CA">
      <w:r w:rsidRPr="0023299F">
        <w:t xml:space="preserve">Uplink power control controls the transmit power of the different uplink physical channels. </w:t>
      </w:r>
    </w:p>
    <w:p w:rsidR="00BA47CA" w:rsidRPr="0023299F" w:rsidRDefault="00BA47CA" w:rsidP="00BA47CA">
      <w:r w:rsidRPr="0023299F">
        <w:t>If a UE is configured with a LAA SCell for uplink transmissions, the UE shall apply the procedures described for PUSCH and SRS in this clause assuming frame structure type 1 for the LAA SCell unless stated otherwise.</w:t>
      </w:r>
    </w:p>
    <w:p w:rsidR="00BA47CA" w:rsidRPr="0023299F" w:rsidRDefault="00BA47CA" w:rsidP="00BA47CA">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BA47CA" w:rsidDel="00F61FF8" w:rsidRDefault="00BA47CA" w:rsidP="00BA47CA">
      <w:pPr>
        <w:rPr>
          <w:del w:id="5" w:author="MM2" w:date="2020-06-08T01:30:00Z"/>
        </w:rPr>
      </w:pPr>
      <w:del w:id="6" w:author="MM2" w:date="2020-06-08T01:30:00Z">
        <w:r w:rsidDel="00F61FF8">
          <w:rPr>
            <w:bCs/>
            <w:noProof/>
          </w:rPr>
          <w:delText xml:space="preserve">For a UE configured with EN-DC, if the UE does not indicate </w:delText>
        </w:r>
        <w:r w:rsidDel="00F61FF8">
          <w:delText xml:space="preserve">a capability </w:delText>
        </w:r>
      </w:del>
      <w:del w:id="7" w:author="MM2" w:date="2020-06-08T01:28:00Z">
        <w:r w:rsidDel="00F61FF8">
          <w:delText>for dynamic power sharing</w:delText>
        </w:r>
      </w:del>
      <w:del w:id="8" w:author="MM2" w:date="2020-06-08T01:30:00Z">
        <w:r w:rsidDel="00F61FF8">
          <w:delText xml:space="preserve"> (as specified in [</w:delText>
        </w:r>
      </w:del>
      <w:del w:id="9" w:author="MM2" w:date="2020-06-08T01:29:00Z">
        <w:r w:rsidDel="00F61FF8">
          <w:delText>17</w:delText>
        </w:r>
      </w:del>
      <w:del w:id="10" w:author="MM2" w:date="2020-06-08T01:30:00Z">
        <w:r w:rsidDel="00F61FF8">
          <w:delText>])</w:delText>
        </w:r>
        <w:r w:rsidDel="00F61FF8">
          <w:rPr>
            <w:bCs/>
            <w:noProof/>
          </w:rPr>
          <w:delText xml:space="preserve"> and </w:delText>
        </w:r>
        <w:r w:rsidRPr="00F76AF5" w:rsidDel="00F61FF8">
          <w:delText xml:space="preserve">if </w:delText>
        </w:r>
        <w:r w:rsidDel="00F61FF8">
          <w:delText>the</w:delText>
        </w:r>
        <w:r w:rsidRPr="00F76AF5" w:rsidDel="00F61FF8">
          <w:delText xml:space="preserve"> UE </w:delText>
        </w:r>
        <w:r w:rsidDel="00F61FF8">
          <w:delText xml:space="preserve">is </w:delText>
        </w:r>
        <w:r w:rsidRPr="00F76AF5" w:rsidDel="00F61FF8">
          <w:delText xml:space="preserve">configured with </w:delText>
        </w:r>
        <w:r w:rsidDel="00F61FF8">
          <w:rPr>
            <w:i/>
          </w:rPr>
          <w:delText xml:space="preserve">subframeAssignment-r16 </w:delText>
        </w:r>
        <w:r w:rsidRPr="00F76AF5" w:rsidDel="00F61FF8">
          <w:delText xml:space="preserve">for </w:delText>
        </w:r>
        <w:r w:rsidDel="00F61FF8">
          <w:delText>a</w:delText>
        </w:r>
        <w:r w:rsidRPr="00F76AF5" w:rsidDel="00F61FF8">
          <w:delText xml:space="preserve"> serving cell</w:delText>
        </w:r>
        <w:r w:rsidDel="00F61FF8">
          <w:delText>,</w:delText>
        </w:r>
        <w:r w:rsidRPr="004D2ED2" w:rsidDel="00F61FF8">
          <w:delText xml:space="preserve"> the UE </w:delText>
        </w:r>
        <w:r w:rsidRPr="008358E8" w:rsidDel="00F61FF8">
          <w:rPr>
            <w:rFonts w:ascii="Times" w:hAnsi="Times"/>
            <w:szCs w:val="24"/>
          </w:rPr>
          <w:delText xml:space="preserve">is </w:delText>
        </w:r>
        <w:r w:rsidDel="00F61FF8">
          <w:rPr>
            <w:rFonts w:ascii="Times" w:hAnsi="Times"/>
            <w:szCs w:val="24"/>
          </w:rPr>
          <w:delText xml:space="preserve">not expected to transmit any uplink physical channel or signal in the serving cell on subframes other than offset-UL subframes, where the offset-UL subframes are determined by applying an </w:delText>
        </w:r>
        <w:r w:rsidDel="00F61FF8">
          <w:delText xml:space="preserve">offset value given by </w:delText>
        </w:r>
        <w:r w:rsidRPr="00B842BF" w:rsidDel="00F61FF8">
          <w:rPr>
            <w:bCs/>
            <w:i/>
            <w:lang w:val="x-none"/>
          </w:rPr>
          <w:delText>harq-Offset</w:delText>
        </w:r>
        <w:r w:rsidDel="00F61FF8">
          <w:rPr>
            <w:bCs/>
            <w:i/>
            <w:lang w:val="en-US"/>
          </w:rPr>
          <w:delText>-r16</w:delText>
        </w:r>
        <w:r w:rsidDel="00F61FF8">
          <w:rPr>
            <w:rFonts w:ascii="Times" w:hAnsi="Times"/>
            <w:szCs w:val="24"/>
          </w:rPr>
          <w:delText xml:space="preserve"> to the subframes denoted as uplink</w:delText>
        </w:r>
        <w:r w:rsidRPr="00DE6A90" w:rsidDel="00F61FF8">
          <w:rPr>
            <w:rFonts w:ascii="Times" w:hAnsi="Times"/>
            <w:szCs w:val="24"/>
          </w:rPr>
          <w:delText xml:space="preserve"> </w:delText>
        </w:r>
        <w:r w:rsidDel="00F61FF8">
          <w:rPr>
            <w:rFonts w:ascii="Times" w:hAnsi="Times"/>
            <w:szCs w:val="24"/>
          </w:rPr>
          <w:delText xml:space="preserve">in the </w:delText>
        </w:r>
        <w:r w:rsidRPr="00F76AF5" w:rsidDel="00F61FF8">
          <w:delText>UL/DL configuration</w:delText>
        </w:r>
        <w:r w:rsidDel="00F61FF8">
          <w:delText xml:space="preserve"> </w:delText>
        </w:r>
        <w:r w:rsidDel="00F61FF8">
          <w:rPr>
            <w:i/>
          </w:rPr>
          <w:delText>subframeAssignment-r16</w:delText>
        </w:r>
        <w:r w:rsidDel="00F61FF8">
          <w:delText>.</w:delText>
        </w:r>
      </w:del>
    </w:p>
    <w:p w:rsidR="00F61FF8" w:rsidRDefault="00F61FF8" w:rsidP="00BA47CA">
      <w:pPr>
        <w:rPr>
          <w:ins w:id="11" w:author="MM2" w:date="2020-06-08T01:30:00Z"/>
        </w:rPr>
      </w:pPr>
      <w:ins w:id="12" w:author="MM2" w:date="2020-06-08T01:30:00Z">
        <w:r w:rsidRPr="00202064">
          <w:rPr>
            <w:color w:val="FF0000"/>
            <w:u w:val="single"/>
          </w:rPr>
          <w:t>For a UE configured with EN-DC, if the UE is configured with </w:t>
        </w:r>
        <w:r w:rsidRPr="00202064">
          <w:rPr>
            <w:i/>
            <w:iCs/>
            <w:color w:val="FF0000"/>
            <w:u w:val="single"/>
          </w:rPr>
          <w:t>subframeAssignment-r16</w:t>
        </w:r>
        <w:r w:rsidRPr="00202064">
          <w:rPr>
            <w:color w:val="FF0000"/>
            <w:u w:val="single"/>
          </w:rPr>
          <w:t> for a serving cell, and if the</w:t>
        </w:r>
        <w:r>
          <w:rPr>
            <w:color w:val="FF0000"/>
            <w:u w:val="single"/>
          </w:rPr>
          <w:t xml:space="preserve"> </w:t>
        </w:r>
        <w:r w:rsidRPr="00202064">
          <w:rPr>
            <w:color w:val="FF0000"/>
            <w:u w:val="single"/>
          </w:rPr>
          <w:t>UE indicates a</w:t>
        </w:r>
        <w:r>
          <w:rPr>
            <w:color w:val="FF0000"/>
            <w:u w:val="single"/>
          </w:rPr>
          <w:t xml:space="preserve"> </w:t>
        </w:r>
        <w:r w:rsidRPr="00202064">
          <w:rPr>
            <w:color w:val="FF0000"/>
            <w:u w:val="single"/>
          </w:rPr>
          <w:t>capability </w:t>
        </w:r>
        <w:r w:rsidRPr="00202064">
          <w:rPr>
            <w:i/>
            <w:iCs/>
            <w:color w:val="FF0000"/>
            <w:u w:val="single"/>
          </w:rPr>
          <w:t>semi-staticULTransInAllSubframe</w:t>
        </w:r>
        <w:r w:rsidRPr="00202064">
          <w:rPr>
            <w:color w:val="FF0000"/>
            <w:u w:val="single"/>
          </w:rPr>
          <w:t> (as</w:t>
        </w:r>
        <w:r>
          <w:rPr>
            <w:color w:val="FF0000"/>
            <w:u w:val="single"/>
          </w:rPr>
          <w:t xml:space="preserve"> </w:t>
        </w:r>
        <w:r w:rsidRPr="00202064">
          <w:rPr>
            <w:color w:val="FF0000"/>
            <w:u w:val="single"/>
          </w:rPr>
          <w:t>specified</w:t>
        </w:r>
        <w:r>
          <w:rPr>
            <w:color w:val="FF0000"/>
            <w:u w:val="single"/>
          </w:rPr>
          <w:t xml:space="preserve"> </w:t>
        </w:r>
        <w:r w:rsidRPr="00202064">
          <w:rPr>
            <w:color w:val="FF0000"/>
            <w:u w:val="single"/>
          </w:rPr>
          <w:t>in</w:t>
        </w:r>
        <w:r>
          <w:rPr>
            <w:color w:val="FF0000"/>
            <w:u w:val="single"/>
          </w:rPr>
          <w:t xml:space="preserve"> </w:t>
        </w:r>
        <w:r w:rsidRPr="00202064">
          <w:rPr>
            <w:color w:val="FF0000"/>
            <w:u w:val="single"/>
          </w:rPr>
          <w:t>[11]),</w:t>
        </w:r>
        <w:r>
          <w:rPr>
            <w:color w:val="FF0000"/>
            <w:u w:val="single"/>
          </w:rPr>
          <w:t xml:space="preserve"> </w:t>
        </w:r>
        <w:r w:rsidRPr="00202064">
          <w:rPr>
            <w:color w:val="FF0000"/>
            <w:u w:val="single"/>
          </w:rPr>
          <w:t>the UE transmits any</w:t>
        </w:r>
        <w:r>
          <w:rPr>
            <w:color w:val="FF0000"/>
            <w:u w:val="single"/>
          </w:rPr>
          <w:t xml:space="preserve"> </w:t>
        </w:r>
        <w:r w:rsidRPr="00202064">
          <w:rPr>
            <w:color w:val="FF0000"/>
            <w:u w:val="single"/>
          </w:rPr>
          <w:t>uplink physical</w:t>
        </w:r>
        <w:r>
          <w:rPr>
            <w:color w:val="FF0000"/>
            <w:u w:val="single"/>
          </w:rPr>
          <w:t xml:space="preserve"> channel </w:t>
        </w:r>
        <w:r w:rsidRPr="00202064">
          <w:rPr>
            <w:color w:val="FF0000"/>
            <w:u w:val="single"/>
          </w:rPr>
          <w:t>or signal without associated DCI if configured, in the serving</w:t>
        </w:r>
        <w:r>
          <w:rPr>
            <w:color w:val="FF0000"/>
            <w:u w:val="single"/>
          </w:rPr>
          <w:t xml:space="preserve"> </w:t>
        </w:r>
        <w:r w:rsidRPr="00202064">
          <w:rPr>
            <w:color w:val="FF0000"/>
            <w:u w:val="single"/>
          </w:rPr>
          <w:t>cell on any uplink subframes. Otherwise, if the UE is configured with </w:t>
        </w:r>
        <w:r w:rsidRPr="00202064">
          <w:rPr>
            <w:i/>
            <w:iCs/>
            <w:color w:val="FF0000"/>
            <w:u w:val="single"/>
          </w:rPr>
          <w:t>subframeAssignment-r16</w:t>
        </w:r>
        <w:r w:rsidRPr="00202064">
          <w:rPr>
            <w:color w:val="FF0000"/>
            <w:u w:val="single"/>
          </w:rPr>
          <w:t> for the serving cell and if the UE does not indicate a capability </w:t>
        </w:r>
        <w:r w:rsidRPr="00202064">
          <w:rPr>
            <w:i/>
            <w:iCs/>
            <w:color w:val="FF0000"/>
            <w:u w:val="single"/>
          </w:rPr>
          <w:t>semi-staticULTransInAllSubframe</w:t>
        </w:r>
        <w:r w:rsidRPr="00202064">
          <w:rPr>
            <w:color w:val="FF0000"/>
            <w:u w:val="single"/>
          </w:rPr>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202064">
          <w:rPr>
            <w:i/>
            <w:iCs/>
            <w:color w:val="FF0000"/>
            <w:u w:val="single"/>
          </w:rPr>
          <w:t>harq-Offset-r16</w:t>
        </w:r>
        <w:r w:rsidRPr="00202064">
          <w:rPr>
            <w:color w:val="FF0000"/>
            <w:u w:val="single"/>
          </w:rPr>
          <w:t> to the subframes denoted as uplink in the UL/DL configuration </w:t>
        </w:r>
        <w:r w:rsidRPr="00202064">
          <w:rPr>
            <w:i/>
            <w:iCs/>
            <w:color w:val="FF0000"/>
            <w:u w:val="single"/>
          </w:rPr>
          <w:t>subframeAssignment-r16</w:t>
        </w:r>
        <w:r w:rsidRPr="00202064">
          <w:rPr>
            <w:color w:val="FF0000"/>
            <w:u w:val="single"/>
          </w:rPr>
          <w:t>.</w:t>
        </w:r>
      </w:ins>
    </w:p>
    <w:p w:rsidR="00BA47CA" w:rsidRPr="0023299F" w:rsidRDefault="00BA47CA" w:rsidP="00BA47CA">
      <w:pPr>
        <w:rPr>
          <w:lang w:eastAsia="zh-CN"/>
        </w:rPr>
      </w:pPr>
      <w:r w:rsidRPr="0023299F">
        <w:rPr>
          <w:lang w:eastAsia="zh-CN"/>
        </w:rPr>
        <w:t>For PUSCH, the transmit power </w:t>
      </w:r>
      <w:r w:rsidRPr="0023299F">
        <w:rPr>
          <w:iCs/>
          <w:position w:val="-12"/>
        </w:rPr>
        <w:object w:dxaOrig="1060" w:dyaOrig="360">
          <v:shape id="_x0000_i1028" type="#_x0000_t75" style="width:52.5pt;height:18pt" o:ole="">
            <v:imagedata r:id="rId19" o:title=""/>
          </v:shape>
          <o:OLEObject Type="Embed" ProgID="Equation.3" ShapeID="_x0000_i1028" DrawAspect="Content" ObjectID="_1653474260" r:id="rId20"/>
        </w:object>
      </w:r>
      <w:r w:rsidRPr="0023299F">
        <w:rPr>
          <w:lang w:eastAsia="zh-CN"/>
        </w:rPr>
        <w:t xml:space="preserve"> defined in Subclause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rsidR="00BA47CA" w:rsidRPr="0023299F" w:rsidRDefault="00BA47CA" w:rsidP="00BA47CA">
      <w:r w:rsidRPr="0023299F">
        <w:rPr>
          <w:lang w:eastAsia="zh-CN"/>
        </w:rPr>
        <w:t>For PUCCH or SRS, the transmit power </w:t>
      </w:r>
      <w:r w:rsidRPr="0023299F">
        <w:rPr>
          <w:position w:val="-10"/>
        </w:rPr>
        <w:object w:dxaOrig="940" w:dyaOrig="340">
          <v:shape id="_x0000_i1029" type="#_x0000_t75" style="width:46.5pt;height:16.5pt" o:ole="">
            <v:imagedata r:id="rId21" o:title=""/>
          </v:shape>
          <o:OLEObject Type="Embed" ProgID="Equation.3" ShapeID="_x0000_i1029" DrawAspect="Content" ObjectID="_1653474261" r:id="rId22"/>
        </w:object>
      </w:r>
      <w:r w:rsidRPr="0023299F">
        <w:rPr>
          <w:lang w:eastAsia="zh-CN"/>
        </w:rPr>
        <w:t>, defined in Subclause 5.1.1.1, or</w:t>
      </w:r>
      <w:r w:rsidRPr="0023299F">
        <w:rPr>
          <w:position w:val="-12"/>
        </w:rPr>
        <w:object w:dxaOrig="800" w:dyaOrig="360">
          <v:shape id="_x0000_i1030" type="#_x0000_t75" style="width:40.5pt;height:18pt" o:ole="">
            <v:imagedata r:id="rId23" o:title=""/>
          </v:shape>
          <o:OLEObject Type="Embed" ProgID="Equation.3" ShapeID="_x0000_i1030" DrawAspect="Content" ObjectID="_1653474262" r:id="rId24"/>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31" type="#_x0000_t75" style="width:40.5pt;height:18pt" o:ole="">
            <v:imagedata r:id="rId25" o:title=""/>
          </v:shape>
          <o:OLEObject Type="Embed" ProgID="Equation.3" ShapeID="_x0000_i1031" DrawAspect="Content" ObjectID="_1653474263" r:id="rId26"/>
        </w:object>
      </w:r>
      <w:r w:rsidRPr="0023299F">
        <w:t xml:space="preserve"> is the linear value of</w:t>
      </w:r>
      <w:r w:rsidRPr="0023299F">
        <w:rPr>
          <w:position w:val="-12"/>
        </w:rPr>
        <w:object w:dxaOrig="800" w:dyaOrig="320">
          <v:shape id="_x0000_i1032" type="#_x0000_t75" style="width:40.5pt;height:15.6pt" o:ole="">
            <v:imagedata r:id="rId27" o:title=""/>
          </v:shape>
          <o:OLEObject Type="Embed" ProgID="Equation.3" ShapeID="_x0000_i1032" DrawAspect="Content" ObjectID="_1653474264" r:id="rId28"/>
        </w:object>
      </w:r>
      <w:r w:rsidRPr="0023299F">
        <w:t>defined in Subclause 5.1.3.</w:t>
      </w:r>
    </w:p>
    <w:p w:rsidR="00BA47CA" w:rsidRPr="0023299F" w:rsidRDefault="00BA47CA" w:rsidP="00BA47CA">
      <w:r w:rsidRPr="0023299F">
        <w:t>A cell wide overload indicator (OI) and a High Interference Indicator (HII) to control UL interference are defined in [9].</w:t>
      </w:r>
    </w:p>
    <w:p w:rsidR="00BA47CA" w:rsidRDefault="00BA47CA" w:rsidP="00BA47CA">
      <w:r w:rsidRPr="0023299F">
        <w:rPr>
          <w:rFonts w:hint="eastAsia"/>
        </w:rPr>
        <w:lastRenderedPageBreak/>
        <w:t xml:space="preserve">For a serving cell with frame structure type 1, a UE is not expected to be configured with </w:t>
      </w:r>
      <w:r w:rsidRPr="0023299F">
        <w:rPr>
          <w:rFonts w:hint="eastAsia"/>
          <w:i/>
        </w:rPr>
        <w:t>UplinkPowerControlDedicated-v12x0</w:t>
      </w:r>
      <w:r w:rsidRPr="0023299F">
        <w:t>.</w:t>
      </w:r>
    </w:p>
    <w:p w:rsidR="008053F9" w:rsidRDefault="008F1404" w:rsidP="008F1404">
      <w:pPr>
        <w:jc w:val="center"/>
      </w:pPr>
      <w:r>
        <w:rPr>
          <w:color w:val="FF0000"/>
          <w:sz w:val="36"/>
          <w:szCs w:val="36"/>
        </w:rPr>
        <w:t>&lt;Unchanged parts are omitted&gt;</w:t>
      </w:r>
    </w:p>
    <w:p w:rsidR="008053F9" w:rsidRPr="000D3CFB" w:rsidRDefault="008053F9" w:rsidP="008053F9">
      <w:pPr>
        <w:pStyle w:val="Heading1"/>
      </w:pPr>
      <w:bookmarkStart w:id="13" w:name="_Toc415085439"/>
      <w:r w:rsidRPr="000D3CFB">
        <w:rPr>
          <w:rFonts w:hint="eastAsia"/>
        </w:rPr>
        <w:t>6</w:t>
      </w:r>
      <w:r w:rsidRPr="000D3CFB">
        <w:rPr>
          <w:rFonts w:hint="eastAsia"/>
        </w:rPr>
        <w:tab/>
      </w:r>
      <w:r w:rsidRPr="000D3CFB">
        <w:t>Random access procedure</w:t>
      </w:r>
      <w:bookmarkEnd w:id="13"/>
    </w:p>
    <w:p w:rsidR="008053F9" w:rsidRPr="000D3CFB" w:rsidRDefault="008053F9" w:rsidP="008053F9">
      <w:r w:rsidRPr="000D3CFB">
        <w:t>If the UE is configured with a SCG, the UE shall apply the procedures described in this clause for both MCG and SCG</w:t>
      </w:r>
    </w:p>
    <w:p w:rsidR="008053F9" w:rsidRPr="000D3CFB" w:rsidRDefault="008053F9" w:rsidP="008053F9">
      <w:pPr>
        <w:pStyle w:val="B1"/>
      </w:pPr>
      <w:r w:rsidRPr="000D3CFB">
        <w:t>-</w:t>
      </w:r>
      <w:r w:rsidRPr="000D3CFB">
        <w:tab/>
        <w:t xml:space="preserve">When the procedures are applied for MCG,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serving cell, serving cells belonging to the MCG respectively.</w:t>
      </w:r>
    </w:p>
    <w:p w:rsidR="008053F9" w:rsidRPr="000D3CFB" w:rsidRDefault="008053F9" w:rsidP="008053F9">
      <w:pPr>
        <w:pStyle w:val="B1"/>
      </w:pPr>
      <w:r w:rsidRPr="000D3CFB">
        <w:t>-</w:t>
      </w:r>
      <w:r w:rsidRPr="000D3CFB">
        <w:tab/>
        <w:t xml:space="preserve">When the procedures are applied for SCG,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(not including PSCell), serving cell, serving cells belonging to the SCG respectively. The term </w:t>
      </w:r>
      <w:r>
        <w:t>'</w:t>
      </w:r>
      <w:r w:rsidRPr="000D3CFB">
        <w:t>primary cell</w:t>
      </w:r>
      <w:r>
        <w:t>'</w:t>
      </w:r>
      <w:r w:rsidRPr="000D3CFB">
        <w:t xml:space="preserve"> in this clause refers to the PSCell of the SCG</w:t>
      </w:r>
    </w:p>
    <w:p w:rsidR="008053F9" w:rsidRDefault="008053F9" w:rsidP="008053F9">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8053F9" w:rsidDel="00F61FF8" w:rsidRDefault="008053F9" w:rsidP="008053F9">
      <w:pPr>
        <w:rPr>
          <w:del w:id="14" w:author="MM2" w:date="2020-06-08T01:32:00Z"/>
        </w:rPr>
      </w:pPr>
      <w:del w:id="15" w:author="MM2" w:date="2020-06-08T01:32:00Z">
        <w:r w:rsidRPr="00010E9E" w:rsidDel="00F61FF8">
          <w:rPr>
            <w:bCs/>
            <w:noProof/>
          </w:rPr>
          <w:delText xml:space="preserve">For </w:delText>
        </w:r>
        <w:r w:rsidDel="00F61FF8">
          <w:rPr>
            <w:bCs/>
            <w:noProof/>
          </w:rPr>
          <w:delText xml:space="preserve">a UE configured with EN-DC, if </w:delText>
        </w:r>
        <w:r w:rsidRPr="00010E9E" w:rsidDel="00F61FF8">
          <w:rPr>
            <w:bCs/>
            <w:noProof/>
          </w:rPr>
          <w:delText xml:space="preserve">the UE does not indicate </w:delText>
        </w:r>
        <w:r w:rsidRPr="00010E9E" w:rsidDel="00F61FF8">
          <w:delText>a capability for dynamic power sharing (as specified in [17])</w:delText>
        </w:r>
        <w:r w:rsidDel="00F61FF8">
          <w:rPr>
            <w:bCs/>
            <w:noProof/>
          </w:rPr>
          <w:delText xml:space="preserve"> and </w:delText>
        </w:r>
        <w:r w:rsidRPr="00010E9E" w:rsidDel="00F61FF8">
          <w:delText xml:space="preserve">if the UE is configured with </w:delText>
        </w:r>
        <w:r w:rsidRPr="00010E9E" w:rsidDel="00F61FF8">
          <w:rPr>
            <w:i/>
          </w:rPr>
          <w:delText xml:space="preserve">subframeAssignment-r16 </w:delText>
        </w:r>
        <w:r w:rsidRPr="00010E9E" w:rsidDel="00F61FF8">
          <w:delText xml:space="preserve">for the serving cell, the UE </w:delText>
        </w:r>
        <w:r w:rsidRPr="00010E9E" w:rsidDel="00F61FF8">
          <w:rPr>
            <w:rFonts w:ascii="Times" w:hAnsi="Times"/>
            <w:szCs w:val="24"/>
          </w:rPr>
          <w:delText xml:space="preserve">is not expected to transmit any uplink physical channel or signal in the serving cell on subframes other than offset-UL subframes, where the offset-UL subframes are determined by applying an </w:delText>
        </w:r>
        <w:r w:rsidRPr="00010E9E" w:rsidDel="00F61FF8">
          <w:delText xml:space="preserve">offset value given by </w:delText>
        </w:r>
        <w:r w:rsidRPr="00010E9E" w:rsidDel="00F61FF8">
          <w:rPr>
            <w:bCs/>
            <w:i/>
            <w:lang w:val="x-none"/>
          </w:rPr>
          <w:delText>harq-Offset</w:delText>
        </w:r>
        <w:r w:rsidRPr="00010E9E" w:rsidDel="00F61FF8">
          <w:rPr>
            <w:bCs/>
            <w:i/>
          </w:rPr>
          <w:delText>-r16</w:delText>
        </w:r>
        <w:r w:rsidRPr="00010E9E" w:rsidDel="00F61FF8">
          <w:rPr>
            <w:rFonts w:ascii="Times" w:hAnsi="Times"/>
            <w:szCs w:val="24"/>
          </w:rPr>
          <w:delText xml:space="preserve"> to the subframes denoted as uplink in the </w:delText>
        </w:r>
        <w:r w:rsidRPr="00010E9E" w:rsidDel="00F61FF8">
          <w:delText xml:space="preserve">UL/DL configuration </w:delText>
        </w:r>
        <w:r w:rsidRPr="00010E9E" w:rsidDel="00F61FF8">
          <w:rPr>
            <w:i/>
          </w:rPr>
          <w:delText>subframeAssignment-r16</w:delText>
        </w:r>
        <w:r w:rsidRPr="00010E9E" w:rsidDel="00F61FF8">
          <w:delText>.</w:delText>
        </w:r>
      </w:del>
    </w:p>
    <w:p w:rsidR="008053F9" w:rsidRPr="000D3CFB" w:rsidRDefault="008053F9" w:rsidP="008053F9">
      <w:r w:rsidRPr="000D3CFB">
        <w:t>Prior to initiation of the non-synchronized physical random access procedure, Layer 1 shall receive the following information from the higher layers:</w:t>
      </w:r>
    </w:p>
    <w:p w:rsidR="008053F9" w:rsidRPr="000D3CFB" w:rsidRDefault="008053F9" w:rsidP="008053F9">
      <w:pPr>
        <w:pStyle w:val="B1"/>
      </w:pPr>
      <w:r w:rsidRPr="000D3CFB">
        <w:t>-</w:t>
      </w:r>
      <w:r w:rsidRPr="000D3CFB">
        <w:tab/>
        <w:t>Random access channel parameters (PRACH configuration and frequency position)</w:t>
      </w:r>
    </w:p>
    <w:p w:rsidR="008053F9" w:rsidRPr="000D3CFB" w:rsidRDefault="008053F9" w:rsidP="008053F9">
      <w:pPr>
        <w:pStyle w:val="B1"/>
      </w:pPr>
      <w:r w:rsidRPr="000D3CFB">
        <w:t>-</w:t>
      </w:r>
      <w:r w:rsidRPr="000D3CFB">
        <w:tab/>
        <w:t>Parameters for determining the root sequences and their cyclic shifts in the preamble sequence set for the primary cell (index to logical root sequence table, cyclic shift (</w:t>
      </w:r>
      <w:r>
        <w:rPr>
          <w:noProof/>
          <w:position w:val="-12"/>
        </w:rPr>
        <w:drawing>
          <wp:inline distT="0" distB="0" distL="0" distR="0">
            <wp:extent cx="254635" cy="2546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4635" cy="254635"/>
                    </a:xfrm>
                    <a:prstGeom prst="rect">
                      <a:avLst/>
                    </a:prstGeom>
                    <a:noFill/>
                    <a:ln>
                      <a:noFill/>
                    </a:ln>
                  </pic:spPr>
                </pic:pic>
              </a:graphicData>
            </a:graphic>
          </wp:inline>
        </w:drawing>
      </w:r>
      <w:r w:rsidRPr="000D3CFB">
        <w:t>), and set type (unrestricted or restricted set))</w:t>
      </w:r>
    </w:p>
    <w:p w:rsidR="008053F9" w:rsidRDefault="008F1404" w:rsidP="008F1404">
      <w:pPr>
        <w:jc w:val="center"/>
        <w:rPr>
          <w:color w:val="FF0000"/>
          <w:sz w:val="36"/>
          <w:szCs w:val="36"/>
        </w:rPr>
      </w:pPr>
      <w:r>
        <w:rPr>
          <w:color w:val="FF0000"/>
          <w:sz w:val="36"/>
          <w:szCs w:val="36"/>
        </w:rPr>
        <w:t>&lt;Unchanged parts are omitted&gt;</w:t>
      </w:r>
    </w:p>
    <w:p w:rsidR="00041547" w:rsidRPr="000D3CFB" w:rsidRDefault="00041547" w:rsidP="00041547">
      <w:pPr>
        <w:pStyle w:val="Heading1"/>
      </w:pPr>
      <w:bookmarkStart w:id="16" w:name="_Toc415085485"/>
      <w:r w:rsidRPr="000D3CFB">
        <w:t>8</w:t>
      </w:r>
      <w:r w:rsidRPr="000D3CFB">
        <w:tab/>
        <w:t>Physical uplink shared channel related procedures</w:t>
      </w:r>
      <w:bookmarkEnd w:id="16"/>
    </w:p>
    <w:p w:rsidR="00041547" w:rsidRPr="000D3CFB" w:rsidRDefault="00041547" w:rsidP="00041547">
      <w:r w:rsidRPr="000D3CFB">
        <w:t>If the UE is configured with a SCG, the UE shall apply the procedures described in this clause for both MCG and SCG</w:t>
      </w:r>
    </w:p>
    <w:p w:rsidR="00041547" w:rsidRPr="000D3CFB" w:rsidRDefault="00041547" w:rsidP="00041547">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t xml:space="preserve"> </w:t>
      </w:r>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041547" w:rsidRPr="000D3CFB" w:rsidRDefault="00041547" w:rsidP="00041547">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rsidR="00041547" w:rsidRPr="000D3CFB" w:rsidRDefault="00041547" w:rsidP="00041547">
      <w:r w:rsidRPr="000D3CFB">
        <w:t>If a UE is configured with a LAA SCell for UL transmissions, the UE shall apply the procedures described in this clause assuming frame structure type 1 for the LAA SCell unless stated otherwise.</w:t>
      </w:r>
    </w:p>
    <w:p w:rsidR="00041547" w:rsidRDefault="00041547" w:rsidP="00041547">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rsidR="00041547" w:rsidDel="00F61FF8" w:rsidRDefault="00041547" w:rsidP="00041547">
      <w:pPr>
        <w:rPr>
          <w:del w:id="17" w:author="MM2" w:date="2020-06-08T01:32:00Z"/>
        </w:rPr>
      </w:pPr>
      <w:del w:id="18" w:author="MM2" w:date="2020-06-08T01:32:00Z">
        <w:r w:rsidDel="00F61FF8">
          <w:rPr>
            <w:bCs/>
            <w:noProof/>
          </w:rPr>
          <w:lastRenderedPageBreak/>
          <w:delText xml:space="preserve">For a UE configured with EN-DC, if the UE does not indicate </w:delText>
        </w:r>
        <w:r w:rsidDel="00F61FF8">
          <w:delText>a capability for dynamic power sharing (as specified in [17])</w:delText>
        </w:r>
        <w:r w:rsidDel="00F61FF8">
          <w:rPr>
            <w:bCs/>
            <w:noProof/>
          </w:rPr>
          <w:delText xml:space="preserve"> and if</w:delText>
        </w:r>
        <w:r w:rsidRPr="00F76AF5" w:rsidDel="00F61FF8">
          <w:delText xml:space="preserve"> </w:delText>
        </w:r>
        <w:r w:rsidDel="00F61FF8">
          <w:delText>the</w:delText>
        </w:r>
        <w:r w:rsidRPr="00F76AF5" w:rsidDel="00F61FF8">
          <w:delText xml:space="preserve"> UE </w:delText>
        </w:r>
        <w:r w:rsidDel="00F61FF8">
          <w:delText xml:space="preserve">is </w:delText>
        </w:r>
        <w:r w:rsidRPr="00F76AF5" w:rsidDel="00F61FF8">
          <w:delText xml:space="preserve">configured with </w:delText>
        </w:r>
        <w:r w:rsidDel="00F61FF8">
          <w:rPr>
            <w:i/>
          </w:rPr>
          <w:delText xml:space="preserve">subframeAssignment-r16 </w:delText>
        </w:r>
        <w:r w:rsidRPr="00F76AF5" w:rsidDel="00F61FF8">
          <w:delText xml:space="preserve">for </w:delText>
        </w:r>
        <w:r w:rsidDel="00F61FF8">
          <w:delText>the</w:delText>
        </w:r>
        <w:r w:rsidRPr="00F76AF5" w:rsidDel="00F61FF8">
          <w:delText xml:space="preserve"> serving cell</w:delText>
        </w:r>
        <w:r w:rsidDel="00F61FF8">
          <w:delText>,</w:delText>
        </w:r>
        <w:r w:rsidRPr="004D2ED2" w:rsidDel="00F61FF8">
          <w:delText xml:space="preserve"> the UE </w:delText>
        </w:r>
        <w:r w:rsidRPr="008358E8" w:rsidDel="00F61FF8">
          <w:rPr>
            <w:rFonts w:ascii="Times" w:hAnsi="Times"/>
            <w:szCs w:val="24"/>
          </w:rPr>
          <w:delText xml:space="preserve">is </w:delText>
        </w:r>
        <w:r w:rsidDel="00F61FF8">
          <w:rPr>
            <w:rFonts w:ascii="Times" w:hAnsi="Times"/>
            <w:szCs w:val="24"/>
          </w:rPr>
          <w:delText xml:space="preserve">not expected to transmit any uplink physical channel or signal in the serving cell on subframes other than offset-UL subframes, where the offset-UL subframes are determined by applying an </w:delText>
        </w:r>
        <w:r w:rsidDel="00F61FF8">
          <w:delText xml:space="preserve">offset value given by </w:delText>
        </w:r>
        <w:r w:rsidRPr="00B842BF" w:rsidDel="00F61FF8">
          <w:rPr>
            <w:bCs/>
            <w:i/>
            <w:lang w:val="x-none"/>
          </w:rPr>
          <w:delText>harq-Offset</w:delText>
        </w:r>
        <w:r w:rsidDel="00F61FF8">
          <w:rPr>
            <w:bCs/>
            <w:i/>
            <w:lang w:val="en-US"/>
          </w:rPr>
          <w:delText>-r16</w:delText>
        </w:r>
        <w:r w:rsidDel="00F61FF8">
          <w:rPr>
            <w:rFonts w:ascii="Times" w:hAnsi="Times"/>
            <w:szCs w:val="24"/>
          </w:rPr>
          <w:delText xml:space="preserve"> to the subframes denoted as uplink</w:delText>
        </w:r>
        <w:r w:rsidRPr="00DE6A90" w:rsidDel="00F61FF8">
          <w:rPr>
            <w:rFonts w:ascii="Times" w:hAnsi="Times"/>
            <w:szCs w:val="24"/>
          </w:rPr>
          <w:delText xml:space="preserve"> </w:delText>
        </w:r>
        <w:r w:rsidDel="00F61FF8">
          <w:rPr>
            <w:rFonts w:ascii="Times" w:hAnsi="Times"/>
            <w:szCs w:val="24"/>
          </w:rPr>
          <w:delText xml:space="preserve">in the </w:delText>
        </w:r>
        <w:r w:rsidRPr="00F76AF5" w:rsidDel="00F61FF8">
          <w:delText>UL/DL configuration</w:delText>
        </w:r>
        <w:r w:rsidDel="00F61FF8">
          <w:delText xml:space="preserve"> </w:delText>
        </w:r>
        <w:r w:rsidDel="00F61FF8">
          <w:rPr>
            <w:i/>
          </w:rPr>
          <w:delText>subframeAssignment-r16</w:delText>
        </w:r>
        <w:r w:rsidDel="00F61FF8">
          <w:delText>.</w:delText>
        </w:r>
      </w:del>
    </w:p>
    <w:p w:rsidR="00F61FF8" w:rsidRPr="00202064" w:rsidRDefault="00F61FF8" w:rsidP="00F61FF8">
      <w:pPr>
        <w:rPr>
          <w:ins w:id="19" w:author="MM2" w:date="2020-06-08T01:32:00Z"/>
          <w:color w:val="FF0000"/>
          <w:u w:val="single"/>
        </w:rPr>
      </w:pPr>
      <w:ins w:id="20" w:author="MM2" w:date="2020-06-08T01:32:00Z">
        <w:r w:rsidRPr="00202064">
          <w:rPr>
            <w:color w:val="FF0000"/>
            <w:u w:val="single"/>
          </w:rPr>
          <w:t>For a UE configured with EN-DC, if the UE is configured with </w:t>
        </w:r>
        <w:r w:rsidRPr="00202064">
          <w:rPr>
            <w:i/>
            <w:iCs/>
            <w:color w:val="FF0000"/>
            <w:u w:val="single"/>
          </w:rPr>
          <w:t>subframeAssignment-r16</w:t>
        </w:r>
        <w:r w:rsidRPr="00202064">
          <w:rPr>
            <w:color w:val="FF0000"/>
            <w:u w:val="single"/>
          </w:rPr>
          <w:t> for a serving cell, and if the</w:t>
        </w:r>
        <w:r>
          <w:rPr>
            <w:color w:val="FF0000"/>
            <w:u w:val="single"/>
          </w:rPr>
          <w:t xml:space="preserve"> </w:t>
        </w:r>
        <w:r w:rsidRPr="00202064">
          <w:rPr>
            <w:color w:val="FF0000"/>
            <w:u w:val="single"/>
          </w:rPr>
          <w:t>UE indicates a</w:t>
        </w:r>
        <w:r>
          <w:rPr>
            <w:color w:val="FF0000"/>
            <w:u w:val="single"/>
          </w:rPr>
          <w:t xml:space="preserve"> </w:t>
        </w:r>
        <w:r w:rsidRPr="00202064">
          <w:rPr>
            <w:color w:val="FF0000"/>
            <w:u w:val="single"/>
          </w:rPr>
          <w:t>capability </w:t>
        </w:r>
        <w:r w:rsidRPr="00202064">
          <w:rPr>
            <w:i/>
            <w:iCs/>
            <w:color w:val="FF0000"/>
            <w:u w:val="single"/>
          </w:rPr>
          <w:t>semi-staticULTransInAllSubframe</w:t>
        </w:r>
        <w:r w:rsidRPr="00202064">
          <w:rPr>
            <w:color w:val="FF0000"/>
            <w:u w:val="single"/>
          </w:rPr>
          <w:t> (as</w:t>
        </w:r>
        <w:r>
          <w:rPr>
            <w:color w:val="FF0000"/>
            <w:u w:val="single"/>
          </w:rPr>
          <w:t xml:space="preserve"> </w:t>
        </w:r>
        <w:r w:rsidRPr="00202064">
          <w:rPr>
            <w:color w:val="FF0000"/>
            <w:u w:val="single"/>
          </w:rPr>
          <w:t>specified</w:t>
        </w:r>
        <w:r>
          <w:rPr>
            <w:color w:val="FF0000"/>
            <w:u w:val="single"/>
          </w:rPr>
          <w:t xml:space="preserve"> </w:t>
        </w:r>
        <w:r w:rsidRPr="00202064">
          <w:rPr>
            <w:color w:val="FF0000"/>
            <w:u w:val="single"/>
          </w:rPr>
          <w:t>in</w:t>
        </w:r>
        <w:r>
          <w:rPr>
            <w:color w:val="FF0000"/>
            <w:u w:val="single"/>
          </w:rPr>
          <w:t xml:space="preserve"> </w:t>
        </w:r>
        <w:r w:rsidRPr="00202064">
          <w:rPr>
            <w:color w:val="FF0000"/>
            <w:u w:val="single"/>
          </w:rPr>
          <w:t>[11]),</w:t>
        </w:r>
        <w:r>
          <w:rPr>
            <w:color w:val="FF0000"/>
            <w:u w:val="single"/>
          </w:rPr>
          <w:t xml:space="preserve"> </w:t>
        </w:r>
        <w:r w:rsidRPr="00202064">
          <w:rPr>
            <w:color w:val="FF0000"/>
            <w:u w:val="single"/>
          </w:rPr>
          <w:t>the UE transmits any</w:t>
        </w:r>
        <w:r>
          <w:rPr>
            <w:color w:val="FF0000"/>
            <w:u w:val="single"/>
          </w:rPr>
          <w:t xml:space="preserve"> </w:t>
        </w:r>
        <w:r w:rsidRPr="00202064">
          <w:rPr>
            <w:color w:val="FF0000"/>
            <w:u w:val="single"/>
          </w:rPr>
          <w:t>uplink physical</w:t>
        </w:r>
        <w:r>
          <w:rPr>
            <w:color w:val="FF0000"/>
            <w:u w:val="single"/>
          </w:rPr>
          <w:t xml:space="preserve"> channel </w:t>
        </w:r>
        <w:r w:rsidRPr="00202064">
          <w:rPr>
            <w:color w:val="FF0000"/>
            <w:u w:val="single"/>
          </w:rPr>
          <w:t>or signal without associated DCI if configured, in the serving</w:t>
        </w:r>
        <w:r>
          <w:rPr>
            <w:color w:val="FF0000"/>
            <w:u w:val="single"/>
          </w:rPr>
          <w:t xml:space="preserve"> </w:t>
        </w:r>
        <w:r w:rsidRPr="00202064">
          <w:rPr>
            <w:color w:val="FF0000"/>
            <w:u w:val="single"/>
          </w:rPr>
          <w:t>cell on any uplink subframes. Otherwise, if the UE is configured with </w:t>
        </w:r>
        <w:r w:rsidRPr="00202064">
          <w:rPr>
            <w:i/>
            <w:iCs/>
            <w:color w:val="FF0000"/>
            <w:u w:val="single"/>
          </w:rPr>
          <w:t>subframeAssignment-r16</w:t>
        </w:r>
        <w:r w:rsidRPr="00202064">
          <w:rPr>
            <w:color w:val="FF0000"/>
            <w:u w:val="single"/>
          </w:rPr>
          <w:t> for the serving cell and if the UE does not indicate a capability </w:t>
        </w:r>
        <w:r w:rsidRPr="00202064">
          <w:rPr>
            <w:i/>
            <w:iCs/>
            <w:color w:val="FF0000"/>
            <w:u w:val="single"/>
          </w:rPr>
          <w:t>semi-staticULTransInAllSubframe</w:t>
        </w:r>
        <w:r w:rsidRPr="00202064">
          <w:rPr>
            <w:color w:val="FF0000"/>
            <w:u w:val="single"/>
          </w:rPr>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202064">
          <w:rPr>
            <w:i/>
            <w:iCs/>
            <w:color w:val="FF0000"/>
            <w:u w:val="single"/>
          </w:rPr>
          <w:t>harq-Offset-r16</w:t>
        </w:r>
        <w:r w:rsidRPr="00202064">
          <w:rPr>
            <w:color w:val="FF0000"/>
            <w:u w:val="single"/>
          </w:rPr>
          <w:t> to the subframes denoted as uplink in the UL/DL configuration </w:t>
        </w:r>
        <w:r w:rsidRPr="00202064">
          <w:rPr>
            <w:i/>
            <w:iCs/>
            <w:color w:val="FF0000"/>
            <w:u w:val="single"/>
          </w:rPr>
          <w:t>subframeAssignment-r16</w:t>
        </w:r>
        <w:r w:rsidRPr="00202064">
          <w:rPr>
            <w:color w:val="FF0000"/>
            <w:u w:val="single"/>
          </w:rPr>
          <w:t>.</w:t>
        </w:r>
      </w:ins>
    </w:p>
    <w:p w:rsidR="00041547" w:rsidRPr="000D3CFB" w:rsidRDefault="00041547" w:rsidP="00041547">
      <w:r>
        <w:rPr>
          <w:lang w:eastAsia="zh-CN"/>
        </w:rPr>
        <w:t>For a UE configured with EN-DC</w:t>
      </w:r>
      <w:r>
        <w:rPr>
          <w:bCs/>
          <w:noProof/>
        </w:rPr>
        <w:t>/</w:t>
      </w:r>
      <w:r>
        <w:rPr>
          <w:bCs/>
          <w:noProof/>
          <w:lang w:eastAsia="zh-CN"/>
        </w:rPr>
        <w:t>NE-DC, if</w:t>
      </w:r>
      <w:r>
        <w:rPr>
          <w:lang w:eastAsia="zh-CN"/>
        </w:rPr>
        <w:t xml:space="preserve"> serving cell frame structure type 1 and if the UE is configured with </w:t>
      </w:r>
      <w:r>
        <w:rPr>
          <w:i/>
        </w:rPr>
        <w:t xml:space="preserve">subframeAssignment-r15 </w:t>
      </w:r>
      <w:r>
        <w:t>for the serving cell</w:t>
      </w:r>
      <w:r>
        <w:rPr>
          <w:lang w:eastAsia="zh-CN"/>
        </w:rPr>
        <w:t xml:space="preserve">, </w:t>
      </w:r>
      <w:r>
        <w:t xml:space="preserve">or </w:t>
      </w:r>
      <w:r>
        <w:rPr>
          <w:bCs/>
          <w:noProof/>
          <w:lang w:eastAsia="zh-CN"/>
        </w:rPr>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a</w:t>
      </w:r>
      <w:r w:rsidRPr="00F76AF5">
        <w:t xml:space="preserve"> serving cell</w:t>
      </w:r>
      <w:r>
        <w:t xml:space="preserve"> with EN-DC, </w:t>
      </w:r>
      <w:r>
        <w:rPr>
          <w:lang w:eastAsia="zh-CN"/>
        </w:rPr>
        <w:t>the UE is not expected to be configured with more than one serving cell in the uplink.</w:t>
      </w:r>
    </w:p>
    <w:p w:rsidR="00041547" w:rsidRPr="000D3CFB" w:rsidRDefault="00041547" w:rsidP="00041547">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041547" w:rsidRPr="000D3CFB" w:rsidRDefault="00041547" w:rsidP="00041547">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041547" w:rsidRPr="000D3CFB" w:rsidRDefault="00041547" w:rsidP="00041547">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Pr>
          <w:rFonts w:eastAsia="SimSun"/>
          <w:lang w:eastAsia="zh-CN"/>
        </w:rPr>
        <w:t>4</w:t>
      </w:r>
      <w:r w:rsidRPr="000D3CFB">
        <w:rPr>
          <w:rFonts w:eastAsia="SimSun" w:hint="eastAsia"/>
          <w:lang w:eastAsia="zh-CN"/>
        </w:rPr>
        <w:t xml:space="preserve"> uplink HARQ processes per serving cell</w:t>
      </w:r>
      <w:r>
        <w:rPr>
          <w:rFonts w:eastAsia="SimSun"/>
          <w:lang w:eastAsia="zh-CN"/>
        </w:rPr>
        <w:t xml:space="preserve"> if </w:t>
      </w:r>
      <w:r w:rsidRPr="000D3CFB">
        <w:rPr>
          <w:rFonts w:eastAsia="SimSun"/>
          <w:lang w:eastAsia="zh-CN"/>
        </w:rPr>
        <w:t xml:space="preserve">the UE is configured with higher layer parameter </w:t>
      </w:r>
      <w:r w:rsidRPr="00C44787">
        <w:rPr>
          <w:i/>
          <w:lang w:eastAsia="zh-CN"/>
        </w:rPr>
        <w:t>multi-TB-UL-config</w:t>
      </w:r>
      <w:r>
        <w:rPr>
          <w:i/>
          <w:lang w:eastAsia="zh-CN"/>
        </w:rPr>
        <w:t>,</w:t>
      </w:r>
      <w:r>
        <w:rPr>
          <w:lang w:eastAsia="zh-CN"/>
        </w:rPr>
        <w:t xml:space="preserve"> </w:t>
      </w:r>
      <w:r w:rsidRPr="000D3CFB">
        <w:rPr>
          <w:rFonts w:eastAsia="SimSun" w:hint="eastAsia"/>
          <w:lang w:eastAsia="zh-CN"/>
        </w:rPr>
        <w:t>2 uplink HARQ processes per serving cell</w:t>
      </w:r>
      <w:r>
        <w:rPr>
          <w:rFonts w:eastAsia="SimSun"/>
          <w:lang w:eastAsia="zh-CN"/>
        </w:rPr>
        <w:t xml:space="preserve"> otherwise</w:t>
      </w:r>
      <w:r w:rsidRPr="000D3CFB">
        <w:rPr>
          <w:rFonts w:eastAsia="SimSun" w:hint="eastAsia"/>
          <w:lang w:eastAsia="zh-CN"/>
        </w:rPr>
        <w:t>.</w:t>
      </w:r>
    </w:p>
    <w:p w:rsidR="00041547" w:rsidRPr="000D3CFB" w:rsidRDefault="00041547" w:rsidP="00041547">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041547" w:rsidRPr="000D3CFB" w:rsidRDefault="00041547" w:rsidP="00041547">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041547" w:rsidRDefault="00041547" w:rsidP="00041547">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rsidR="00041547" w:rsidRPr="000D3CFB" w:rsidRDefault="00041547" w:rsidP="00041547">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 xml:space="preserve">. </w:t>
      </w:r>
    </w:p>
    <w:p w:rsidR="00041547" w:rsidRPr="000D3CFB" w:rsidRDefault="00041547" w:rsidP="00041547">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bookmarkEnd w:id="0"/>
    <w:bookmarkEnd w:id="4"/>
    <w:p w:rsidR="0021108F" w:rsidRDefault="0021108F" w:rsidP="0021108F">
      <w:pPr>
        <w:jc w:val="center"/>
        <w:rPr>
          <w:color w:val="FF0000"/>
          <w:sz w:val="36"/>
          <w:szCs w:val="36"/>
        </w:rPr>
      </w:pPr>
      <w:r>
        <w:rPr>
          <w:color w:val="FF0000"/>
          <w:sz w:val="36"/>
          <w:szCs w:val="36"/>
        </w:rPr>
        <w:t>&lt;Unchanged parts are omitted&gt;</w:t>
      </w:r>
    </w:p>
    <w:p w:rsidR="00041547" w:rsidRPr="0023299F" w:rsidRDefault="00041547" w:rsidP="008F1404">
      <w:pPr>
        <w:jc w:val="center"/>
      </w:pPr>
    </w:p>
    <w:sectPr w:rsidR="00041547" w:rsidRPr="0023299F" w:rsidSect="008978F2">
      <w:headerReference w:type="default" r:id="rId3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D9A" w:rsidRDefault="00927D9A">
      <w:r>
        <w:separator/>
      </w:r>
    </w:p>
  </w:endnote>
  <w:endnote w:type="continuationSeparator" w:id="0">
    <w:p w:rsidR="00927D9A" w:rsidRDefault="0092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D9A" w:rsidRDefault="00927D9A">
      <w:r>
        <w:separator/>
      </w:r>
    </w:p>
  </w:footnote>
  <w:footnote w:type="continuationSeparator" w:id="0">
    <w:p w:rsidR="00927D9A" w:rsidRDefault="0092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32D3"/>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BAF"/>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08F"/>
    <w:rsid w:val="00213131"/>
    <w:rsid w:val="00213BD7"/>
    <w:rsid w:val="002140E2"/>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27D9A"/>
    <w:rsid w:val="0093274D"/>
    <w:rsid w:val="00934609"/>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053F9"/>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1FF8"/>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33BF3D"/>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108F"/>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61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61FF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61FF8"/>
    <w:pPr>
      <w:spacing w:before="120"/>
      <w:outlineLvl w:val="2"/>
    </w:pPr>
    <w:rPr>
      <w:sz w:val="28"/>
    </w:rPr>
  </w:style>
  <w:style w:type="paragraph" w:styleId="Heading4">
    <w:name w:val="heading 4"/>
    <w:aliases w:val="h4"/>
    <w:basedOn w:val="Heading3"/>
    <w:next w:val="Normal"/>
    <w:link w:val="Heading4Char"/>
    <w:qFormat/>
    <w:rsid w:val="00F61FF8"/>
    <w:pPr>
      <w:ind w:left="1418" w:hanging="1418"/>
      <w:outlineLvl w:val="3"/>
    </w:pPr>
    <w:rPr>
      <w:sz w:val="24"/>
    </w:rPr>
  </w:style>
  <w:style w:type="paragraph" w:styleId="Heading5">
    <w:name w:val="heading 5"/>
    <w:aliases w:val="h5,Heading5"/>
    <w:basedOn w:val="Heading4"/>
    <w:next w:val="Normal"/>
    <w:link w:val="Heading5Char"/>
    <w:qFormat/>
    <w:rsid w:val="00F61FF8"/>
    <w:pPr>
      <w:ind w:left="1701" w:hanging="1701"/>
      <w:outlineLvl w:val="4"/>
    </w:pPr>
    <w:rPr>
      <w:sz w:val="22"/>
    </w:rPr>
  </w:style>
  <w:style w:type="paragraph" w:styleId="Heading6">
    <w:name w:val="heading 6"/>
    <w:basedOn w:val="H6"/>
    <w:next w:val="Normal"/>
    <w:link w:val="Heading6Char"/>
    <w:qFormat/>
    <w:rsid w:val="00F61FF8"/>
    <w:pPr>
      <w:outlineLvl w:val="5"/>
    </w:pPr>
  </w:style>
  <w:style w:type="paragraph" w:styleId="Heading7">
    <w:name w:val="heading 7"/>
    <w:basedOn w:val="H6"/>
    <w:next w:val="Normal"/>
    <w:link w:val="Heading7Char"/>
    <w:qFormat/>
    <w:rsid w:val="00F61FF8"/>
    <w:pPr>
      <w:outlineLvl w:val="6"/>
    </w:pPr>
  </w:style>
  <w:style w:type="paragraph" w:styleId="Heading8">
    <w:name w:val="heading 8"/>
    <w:basedOn w:val="Heading1"/>
    <w:next w:val="Normal"/>
    <w:link w:val="Heading8Char"/>
    <w:qFormat/>
    <w:rsid w:val="00F61FF8"/>
    <w:pPr>
      <w:ind w:left="0" w:firstLine="0"/>
      <w:outlineLvl w:val="7"/>
    </w:pPr>
  </w:style>
  <w:style w:type="paragraph" w:styleId="Heading9">
    <w:name w:val="heading 9"/>
    <w:basedOn w:val="Heading8"/>
    <w:next w:val="Normal"/>
    <w:link w:val="Heading9Char"/>
    <w:qFormat/>
    <w:rsid w:val="00F61F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1FF8"/>
    <w:pPr>
      <w:ind w:left="1985" w:hanging="1985"/>
      <w:outlineLvl w:val="9"/>
    </w:pPr>
    <w:rPr>
      <w:sz w:val="20"/>
    </w:rPr>
  </w:style>
  <w:style w:type="paragraph" w:styleId="TOC9">
    <w:name w:val="toc 9"/>
    <w:basedOn w:val="TOC8"/>
    <w:rsid w:val="00F61FF8"/>
    <w:pPr>
      <w:ind w:left="1418" w:hanging="1418"/>
    </w:pPr>
  </w:style>
  <w:style w:type="paragraph" w:styleId="TOC8">
    <w:name w:val="toc 8"/>
    <w:basedOn w:val="TOC1"/>
    <w:rsid w:val="00F61FF8"/>
    <w:pPr>
      <w:spacing w:before="180"/>
      <w:ind w:left="2693" w:hanging="2693"/>
    </w:pPr>
    <w:rPr>
      <w:b/>
    </w:rPr>
  </w:style>
  <w:style w:type="paragraph" w:styleId="TOC1">
    <w:name w:val="toc 1"/>
    <w:rsid w:val="00F61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61FF8"/>
    <w:pPr>
      <w:keepLines/>
      <w:tabs>
        <w:tab w:val="center" w:pos="4536"/>
        <w:tab w:val="right" w:pos="9072"/>
      </w:tabs>
    </w:pPr>
    <w:rPr>
      <w:noProof/>
    </w:rPr>
  </w:style>
  <w:style w:type="character" w:customStyle="1" w:styleId="ZGSM">
    <w:name w:val="ZGSM"/>
    <w:rsid w:val="00F61F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1FF8"/>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61F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61FF8"/>
    <w:pPr>
      <w:ind w:left="1701" w:hanging="1701"/>
    </w:pPr>
  </w:style>
  <w:style w:type="paragraph" w:styleId="TOC4">
    <w:name w:val="toc 4"/>
    <w:basedOn w:val="TOC3"/>
    <w:rsid w:val="00F61FF8"/>
    <w:pPr>
      <w:ind w:left="1418" w:hanging="1418"/>
    </w:pPr>
  </w:style>
  <w:style w:type="paragraph" w:styleId="TOC3">
    <w:name w:val="toc 3"/>
    <w:basedOn w:val="TOC2"/>
    <w:rsid w:val="00F61FF8"/>
    <w:pPr>
      <w:ind w:left="1134" w:hanging="1134"/>
    </w:pPr>
  </w:style>
  <w:style w:type="paragraph" w:styleId="TOC2">
    <w:name w:val="toc 2"/>
    <w:basedOn w:val="TOC1"/>
    <w:rsid w:val="00F61FF8"/>
    <w:pPr>
      <w:keepNext w:val="0"/>
      <w:spacing w:before="0"/>
      <w:ind w:left="851" w:hanging="851"/>
    </w:pPr>
    <w:rPr>
      <w:sz w:val="20"/>
    </w:rPr>
  </w:style>
  <w:style w:type="paragraph" w:styleId="Index1">
    <w:name w:val="index 1"/>
    <w:basedOn w:val="Normal"/>
    <w:semiHidden/>
    <w:rsid w:val="00F61FF8"/>
    <w:pPr>
      <w:keepLines/>
      <w:spacing w:after="0"/>
    </w:pPr>
  </w:style>
  <w:style w:type="paragraph" w:styleId="Index2">
    <w:name w:val="index 2"/>
    <w:basedOn w:val="Index1"/>
    <w:semiHidden/>
    <w:rsid w:val="00F61FF8"/>
    <w:pPr>
      <w:ind w:left="284"/>
    </w:pPr>
  </w:style>
  <w:style w:type="paragraph" w:customStyle="1" w:styleId="TT">
    <w:name w:val="TT"/>
    <w:basedOn w:val="Heading1"/>
    <w:next w:val="Normal"/>
    <w:rsid w:val="00F61FF8"/>
    <w:pPr>
      <w:outlineLvl w:val="9"/>
    </w:pPr>
  </w:style>
  <w:style w:type="paragraph" w:styleId="Footer">
    <w:name w:val="footer"/>
    <w:basedOn w:val="Header"/>
    <w:link w:val="FooterChar"/>
    <w:rsid w:val="00F61FF8"/>
    <w:pPr>
      <w:jc w:val="center"/>
    </w:pPr>
    <w:rPr>
      <w:i/>
    </w:rPr>
  </w:style>
  <w:style w:type="character" w:styleId="FootnoteReference">
    <w:name w:val="footnote reference"/>
    <w:basedOn w:val="DefaultParagraphFont"/>
    <w:semiHidden/>
    <w:rsid w:val="00F61FF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61FF8"/>
    <w:pPr>
      <w:keepLines/>
      <w:spacing w:after="0"/>
      <w:ind w:left="454" w:hanging="454"/>
    </w:pPr>
    <w:rPr>
      <w:sz w:val="16"/>
    </w:rPr>
  </w:style>
  <w:style w:type="paragraph" w:customStyle="1" w:styleId="NF">
    <w:name w:val="NF"/>
    <w:basedOn w:val="NO"/>
    <w:rsid w:val="00F61FF8"/>
    <w:pPr>
      <w:keepNext/>
      <w:spacing w:after="0"/>
    </w:pPr>
    <w:rPr>
      <w:rFonts w:ascii="Arial" w:hAnsi="Arial"/>
      <w:sz w:val="18"/>
    </w:rPr>
  </w:style>
  <w:style w:type="paragraph" w:customStyle="1" w:styleId="NO">
    <w:name w:val="NO"/>
    <w:basedOn w:val="Normal"/>
    <w:rsid w:val="00F61FF8"/>
    <w:pPr>
      <w:keepLines/>
      <w:ind w:left="1135" w:hanging="851"/>
    </w:pPr>
  </w:style>
  <w:style w:type="paragraph" w:customStyle="1" w:styleId="PL">
    <w:name w:val="PL"/>
    <w:link w:val="PLChar"/>
    <w:rsid w:val="00F61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61FF8"/>
    <w:pPr>
      <w:jc w:val="right"/>
    </w:pPr>
  </w:style>
  <w:style w:type="paragraph" w:customStyle="1" w:styleId="TAL">
    <w:name w:val="TAL"/>
    <w:basedOn w:val="Normal"/>
    <w:link w:val="TALCar"/>
    <w:rsid w:val="00F61FF8"/>
    <w:pPr>
      <w:keepNext/>
      <w:keepLines/>
      <w:spacing w:after="0"/>
    </w:pPr>
    <w:rPr>
      <w:rFonts w:ascii="Arial" w:hAnsi="Arial"/>
      <w:sz w:val="18"/>
    </w:rPr>
  </w:style>
  <w:style w:type="paragraph" w:styleId="ListNumber2">
    <w:name w:val="List Number 2"/>
    <w:basedOn w:val="ListNumber"/>
    <w:rsid w:val="00F61FF8"/>
    <w:pPr>
      <w:ind w:left="851"/>
    </w:pPr>
  </w:style>
  <w:style w:type="paragraph" w:styleId="ListNumber">
    <w:name w:val="List Number"/>
    <w:basedOn w:val="List"/>
    <w:rsid w:val="00F61FF8"/>
  </w:style>
  <w:style w:type="paragraph" w:styleId="List">
    <w:name w:val="List"/>
    <w:basedOn w:val="Normal"/>
    <w:link w:val="ListChar"/>
    <w:rsid w:val="00F61FF8"/>
    <w:pPr>
      <w:ind w:left="568" w:hanging="284"/>
    </w:pPr>
  </w:style>
  <w:style w:type="paragraph" w:customStyle="1" w:styleId="TAH">
    <w:name w:val="TAH"/>
    <w:basedOn w:val="TAC"/>
    <w:link w:val="TAHCar"/>
    <w:rsid w:val="00F61FF8"/>
    <w:rPr>
      <w:b/>
    </w:rPr>
  </w:style>
  <w:style w:type="paragraph" w:customStyle="1" w:styleId="TAC">
    <w:name w:val="TAC"/>
    <w:basedOn w:val="TAL"/>
    <w:link w:val="TACChar"/>
    <w:rsid w:val="00F61FF8"/>
    <w:pPr>
      <w:jc w:val="center"/>
    </w:pPr>
  </w:style>
  <w:style w:type="paragraph" w:customStyle="1" w:styleId="LD">
    <w:name w:val="LD"/>
    <w:rsid w:val="00F61FF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61FF8"/>
    <w:pPr>
      <w:keepLines/>
      <w:ind w:left="1702" w:hanging="1418"/>
    </w:pPr>
  </w:style>
  <w:style w:type="paragraph" w:customStyle="1" w:styleId="FP">
    <w:name w:val="FP"/>
    <w:basedOn w:val="Normal"/>
    <w:rsid w:val="00F61FF8"/>
    <w:pPr>
      <w:spacing w:after="0"/>
    </w:pPr>
  </w:style>
  <w:style w:type="paragraph" w:customStyle="1" w:styleId="NW">
    <w:name w:val="NW"/>
    <w:basedOn w:val="NO"/>
    <w:rsid w:val="00F61FF8"/>
    <w:pPr>
      <w:spacing w:after="0"/>
    </w:pPr>
  </w:style>
  <w:style w:type="paragraph" w:customStyle="1" w:styleId="EW">
    <w:name w:val="EW"/>
    <w:basedOn w:val="EX"/>
    <w:rsid w:val="00F61FF8"/>
    <w:pPr>
      <w:spacing w:after="0"/>
    </w:pPr>
  </w:style>
  <w:style w:type="paragraph" w:customStyle="1" w:styleId="B1">
    <w:name w:val="B1"/>
    <w:basedOn w:val="List"/>
    <w:link w:val="B1Char1"/>
    <w:rsid w:val="00F61FF8"/>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F61FF8"/>
    <w:pPr>
      <w:ind w:left="1985" w:hanging="1985"/>
    </w:pPr>
  </w:style>
  <w:style w:type="paragraph" w:styleId="TOC7">
    <w:name w:val="toc 7"/>
    <w:basedOn w:val="TOC6"/>
    <w:next w:val="Normal"/>
    <w:rsid w:val="00F61FF8"/>
    <w:pPr>
      <w:ind w:left="2268" w:hanging="2268"/>
    </w:pPr>
  </w:style>
  <w:style w:type="paragraph" w:styleId="ListBullet2">
    <w:name w:val="List Bullet 2"/>
    <w:basedOn w:val="ListBullet"/>
    <w:rsid w:val="00F61FF8"/>
    <w:pPr>
      <w:ind w:left="851"/>
    </w:pPr>
  </w:style>
  <w:style w:type="paragraph" w:styleId="ListBullet">
    <w:name w:val="List Bullet"/>
    <w:basedOn w:val="List"/>
    <w:rsid w:val="00F61FF8"/>
  </w:style>
  <w:style w:type="paragraph" w:customStyle="1" w:styleId="EditorsNote">
    <w:name w:val="Editor's Note"/>
    <w:basedOn w:val="NO"/>
    <w:rsid w:val="00F61FF8"/>
    <w:rPr>
      <w:color w:val="FF0000"/>
    </w:rPr>
  </w:style>
  <w:style w:type="paragraph" w:customStyle="1" w:styleId="TH">
    <w:name w:val="TH"/>
    <w:basedOn w:val="Normal"/>
    <w:link w:val="THChar"/>
    <w:rsid w:val="00F61FF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61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61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61F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61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61FF8"/>
    <w:pPr>
      <w:ind w:left="851" w:hanging="851"/>
    </w:pPr>
  </w:style>
  <w:style w:type="paragraph" w:customStyle="1" w:styleId="ZH">
    <w:name w:val="ZH"/>
    <w:rsid w:val="00F61F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61FF8"/>
    <w:pPr>
      <w:keepNext w:val="0"/>
      <w:spacing w:before="0" w:after="240"/>
    </w:pPr>
  </w:style>
  <w:style w:type="paragraph" w:customStyle="1" w:styleId="ZG">
    <w:name w:val="ZG"/>
    <w:rsid w:val="00F61F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61FF8"/>
    <w:pPr>
      <w:ind w:left="1135"/>
    </w:pPr>
  </w:style>
  <w:style w:type="paragraph" w:styleId="List2">
    <w:name w:val="List 2"/>
    <w:basedOn w:val="List"/>
    <w:link w:val="List2Char"/>
    <w:rsid w:val="00F61FF8"/>
    <w:pPr>
      <w:ind w:left="851"/>
    </w:pPr>
  </w:style>
  <w:style w:type="paragraph" w:styleId="List3">
    <w:name w:val="List 3"/>
    <w:basedOn w:val="List2"/>
    <w:link w:val="List3Char"/>
    <w:rsid w:val="00F61FF8"/>
    <w:pPr>
      <w:ind w:left="1135"/>
    </w:pPr>
  </w:style>
  <w:style w:type="paragraph" w:styleId="List4">
    <w:name w:val="List 4"/>
    <w:basedOn w:val="List3"/>
    <w:rsid w:val="00F61FF8"/>
    <w:pPr>
      <w:ind w:left="1418"/>
    </w:pPr>
  </w:style>
  <w:style w:type="paragraph" w:styleId="List5">
    <w:name w:val="List 5"/>
    <w:basedOn w:val="List4"/>
    <w:rsid w:val="00F61FF8"/>
    <w:pPr>
      <w:ind w:left="1702"/>
    </w:pPr>
  </w:style>
  <w:style w:type="paragraph" w:styleId="ListBullet4">
    <w:name w:val="List Bullet 4"/>
    <w:basedOn w:val="ListBullet3"/>
    <w:rsid w:val="00F61FF8"/>
    <w:pPr>
      <w:ind w:left="1418"/>
    </w:pPr>
  </w:style>
  <w:style w:type="paragraph" w:styleId="ListBullet5">
    <w:name w:val="List Bullet 5"/>
    <w:basedOn w:val="ListBullet4"/>
    <w:rsid w:val="00F61FF8"/>
    <w:pPr>
      <w:ind w:left="1702"/>
    </w:pPr>
  </w:style>
  <w:style w:type="paragraph" w:customStyle="1" w:styleId="B2">
    <w:name w:val="B2"/>
    <w:basedOn w:val="List2"/>
    <w:link w:val="B2Char"/>
    <w:rsid w:val="00F61FF8"/>
  </w:style>
  <w:style w:type="paragraph" w:customStyle="1" w:styleId="B3">
    <w:name w:val="B3"/>
    <w:basedOn w:val="List3"/>
    <w:link w:val="B3Char"/>
    <w:rsid w:val="00F61FF8"/>
  </w:style>
  <w:style w:type="paragraph" w:customStyle="1" w:styleId="B4">
    <w:name w:val="B4"/>
    <w:basedOn w:val="List4"/>
    <w:rsid w:val="00F61FF8"/>
  </w:style>
  <w:style w:type="paragraph" w:customStyle="1" w:styleId="B5">
    <w:name w:val="B5"/>
    <w:basedOn w:val="List5"/>
    <w:rsid w:val="00F61FF8"/>
  </w:style>
  <w:style w:type="paragraph" w:customStyle="1" w:styleId="ZTD">
    <w:name w:val="ZTD"/>
    <w:basedOn w:val="ZB"/>
    <w:rsid w:val="00F61FF8"/>
    <w:pPr>
      <w:framePr w:hRule="auto" w:wrap="notBeside" w:y="852"/>
    </w:pPr>
    <w:rPr>
      <w:i w:val="0"/>
      <w:sz w:val="40"/>
    </w:rPr>
  </w:style>
  <w:style w:type="paragraph" w:customStyle="1" w:styleId="ZV">
    <w:name w:val="ZV"/>
    <w:basedOn w:val="ZU"/>
    <w:rsid w:val="00F61FF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header" Target="header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5</Pages>
  <Words>2291</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47</cp:revision>
  <cp:lastPrinted>2007-03-03T11:31:00Z</cp:lastPrinted>
  <dcterms:created xsi:type="dcterms:W3CDTF">2020-01-12T17:55:00Z</dcterms:created>
  <dcterms:modified xsi:type="dcterms:W3CDTF">2020-06-12T18:12:00Z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